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E1BCD" w:rsidP="007E1BCD" w14:paraId="4F366380" w14:textId="778638F3">
      <w:pPr>
        <w:spacing w:before="240" w:after="0" w:line="240" w:lineRule="auto"/>
        <w:jc w:val="center"/>
        <w:rPr>
          <w:rFonts w:ascii="Times New Roman" w:hAnsi="Times New Roman"/>
          <w:b/>
          <w:szCs w:val="22"/>
          <w:lang w:eastAsia="en-US"/>
        </w:rPr>
      </w:pPr>
      <w:r>
        <w:rPr>
          <w:rFonts w:ascii="Times New Roman" w:hAnsi="Times New Roman"/>
          <w:b/>
          <w:szCs w:val="22"/>
          <w:lang w:eastAsia="en-US" w:bidi="sv-SE"/>
        </w:rPr>
        <w:t>BOLAGSORDNING</w:t>
      </w:r>
    </w:p>
    <w:p w:rsidR="007E1BCD" w:rsidP="007E1BCD" w14:paraId="7493FB11" w14:textId="77777777">
      <w:pPr>
        <w:spacing w:before="240" w:after="0" w:line="240" w:lineRule="auto"/>
        <w:jc w:val="center"/>
        <w:rPr>
          <w:rFonts w:ascii="Times New Roman" w:hAnsi="Times New Roman"/>
          <w:b/>
          <w:szCs w:val="22"/>
          <w:lang w:eastAsia="en-US"/>
        </w:rPr>
      </w:pPr>
      <w:r>
        <w:rPr>
          <w:rFonts w:ascii="Times New Roman" w:hAnsi="Times New Roman"/>
          <w:b/>
          <w:szCs w:val="22"/>
          <w:lang w:eastAsia="en-US" w:bidi="sv-SE"/>
        </w:rPr>
        <w:t>för</w:t>
      </w:r>
    </w:p>
    <w:p w:rsidR="007E1BCD" w:rsidP="007E1BCD" w14:paraId="6C13A5A6" w14:textId="77777777">
      <w:pPr>
        <w:spacing w:before="240" w:after="0" w:line="240" w:lineRule="auto"/>
        <w:jc w:val="center"/>
        <w:rPr>
          <w:rFonts w:ascii="Times New Roman" w:hAnsi="Times New Roman"/>
          <w:b/>
          <w:szCs w:val="22"/>
          <w:lang w:eastAsia="en-US"/>
        </w:rPr>
      </w:pPr>
      <w:r>
        <w:rPr>
          <w:rFonts w:ascii="Times New Roman" w:hAnsi="Times New Roman"/>
          <w:b/>
          <w:szCs w:val="22"/>
          <w:lang w:eastAsia="en-US" w:bidi="sv-SE"/>
        </w:rPr>
        <w:t xml:space="preserve">Haypp Group AB (publ) </w:t>
      </w:r>
    </w:p>
    <w:p w:rsidR="007E1BCD" w:rsidP="007E1BCD" w14:paraId="48C6AF7D" w14:textId="77777777">
      <w:pPr>
        <w:spacing w:before="240" w:after="0" w:line="240" w:lineRule="auto"/>
        <w:jc w:val="center"/>
        <w:rPr>
          <w:rFonts w:ascii="Times New Roman" w:hAnsi="Times New Roman"/>
          <w:b/>
          <w:szCs w:val="22"/>
          <w:lang w:eastAsia="en-US"/>
        </w:rPr>
      </w:pPr>
      <w:r>
        <w:rPr>
          <w:rFonts w:ascii="Times New Roman" w:hAnsi="Times New Roman"/>
          <w:b/>
          <w:szCs w:val="22"/>
          <w:lang w:eastAsia="en-US" w:bidi="sv-SE"/>
        </w:rPr>
        <w:t>(org. nr 559075-6796)</w:t>
      </w:r>
    </w:p>
    <w:p w:rsidR="007E1BCD" w:rsidP="007E1BCD" w14:paraId="0BBD1B75" w14:textId="66F07A74">
      <w:pPr>
        <w:spacing w:after="0" w:line="240" w:lineRule="auto"/>
        <w:rPr>
          <w:rFonts w:ascii="Times New Roman" w:hAnsi="Times New Roman"/>
          <w:szCs w:val="22"/>
          <w:lang w:eastAsia="en-US"/>
        </w:rPr>
      </w:pPr>
    </w:p>
    <w:p w:rsidR="007E1BCD" w:rsidRPr="00CA5538" w:rsidP="007E1BCD" w14:paraId="70D310F9" w14:textId="77777777">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w:t>
        <w:tab/>
        <w:t>Företagsnamn</w:t>
      </w:r>
    </w:p>
    <w:p w:rsidR="007E1BCD" w:rsidRPr="00CA5538" w:rsidP="007E1BCD" w14:paraId="6C3F0682" w14:textId="77777777">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Bolagets företagsnamn är Haypp Group AB (publ). Bolaget är publikt. </w:t>
      </w:r>
    </w:p>
    <w:p w:rsidR="007E1BCD" w:rsidRPr="00CA5538" w:rsidP="007E1BCD" w14:paraId="48E9925A" w14:textId="77777777">
      <w:pPr>
        <w:spacing w:after="0" w:line="276" w:lineRule="auto"/>
        <w:ind w:firstLine="1304"/>
        <w:jc w:val="left"/>
        <w:rPr>
          <w:rFonts w:ascii="Times New Roman" w:hAnsi="Times New Roman"/>
          <w:color w:val="000000"/>
          <w:szCs w:val="22"/>
          <w:lang w:eastAsia="en-US"/>
        </w:rPr>
      </w:pPr>
    </w:p>
    <w:p w:rsidR="007E1BCD" w:rsidRPr="00CA5538" w:rsidP="007E1BCD" w14:paraId="43A05A8A" w14:textId="77777777">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2§</w:t>
        <w:tab/>
        <w:t>Säte</w:t>
      </w:r>
    </w:p>
    <w:p w:rsidR="007E1BCD" w:rsidRPr="00CA5538" w:rsidP="007E1BCD" w14:paraId="79BE43C9" w14:textId="77777777">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Styrelsen ska ha sitt säte i Stockholm. </w:t>
      </w:r>
    </w:p>
    <w:p w:rsidR="007E1BCD" w:rsidRPr="00CA5538" w:rsidP="007E1BCD" w14:paraId="133B6631" w14:textId="77777777">
      <w:pPr>
        <w:spacing w:after="0" w:line="276" w:lineRule="auto"/>
        <w:ind w:firstLine="1304"/>
        <w:jc w:val="left"/>
        <w:rPr>
          <w:rFonts w:ascii="Times New Roman" w:hAnsi="Times New Roman"/>
          <w:color w:val="000000"/>
          <w:szCs w:val="22"/>
          <w:lang w:eastAsia="en-US"/>
        </w:rPr>
      </w:pPr>
    </w:p>
    <w:p w:rsidR="007E1BCD" w:rsidRPr="00CA5538" w:rsidP="007E1BCD" w14:paraId="68CC1621" w14:textId="77777777">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3§</w:t>
        <w:tab/>
        <w:t>Verksamhetsföremål</w:t>
      </w:r>
    </w:p>
    <w:p w:rsidR="007E1BCD" w:rsidRPr="00CA5538" w:rsidP="007E1BCD" w14:paraId="7879CFE5" w14:textId="6EEB4289">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Bolaget ska investera i e-handelsbolag och bedriva därmed förenlig verksamhet.</w:t>
      </w:r>
    </w:p>
    <w:p w:rsidR="007E1BCD" w:rsidRPr="00CA5538" w:rsidP="007E1BCD" w14:paraId="74297136" w14:textId="77777777">
      <w:pPr>
        <w:spacing w:after="0" w:line="276" w:lineRule="auto"/>
        <w:ind w:left="1304"/>
        <w:jc w:val="left"/>
        <w:rPr>
          <w:rFonts w:ascii="Times New Roman" w:hAnsi="Times New Roman"/>
          <w:color w:val="000000"/>
          <w:szCs w:val="22"/>
          <w:lang w:eastAsia="en-US"/>
        </w:rPr>
      </w:pPr>
    </w:p>
    <w:p w:rsidR="007E1BCD" w:rsidRPr="00CA5538" w:rsidP="007E1BCD" w14:paraId="74E9098B" w14:textId="77777777">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4§</w:t>
        <w:tab/>
        <w:t>Aktiekapital</w:t>
      </w:r>
    </w:p>
    <w:p w:rsidR="007E1BCD" w:rsidRPr="00CA5538" w:rsidP="007E1BCD" w14:paraId="2B200D1D" w14:textId="77777777">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Aktiekapitalet ska utgöra lägst 1 000 000 och högst 4 000 000 kronor.</w:t>
      </w:r>
    </w:p>
    <w:p w:rsidR="007E1BCD" w:rsidRPr="00CA5538" w:rsidP="007E1BCD" w14:paraId="07A3CF81" w14:textId="77777777">
      <w:pPr>
        <w:spacing w:after="0" w:line="276" w:lineRule="auto"/>
        <w:ind w:firstLine="1304"/>
        <w:jc w:val="left"/>
        <w:rPr>
          <w:rFonts w:ascii="Times New Roman" w:hAnsi="Times New Roman"/>
          <w:color w:val="000000"/>
          <w:szCs w:val="22"/>
          <w:lang w:eastAsia="en-US"/>
        </w:rPr>
      </w:pPr>
    </w:p>
    <w:p w:rsidR="007E1BCD" w:rsidRPr="00CA5538" w:rsidP="007E1BCD" w14:paraId="325C43A8" w14:textId="77777777">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5§</w:t>
        <w:tab/>
        <w:t>Antal aktier</w:t>
      </w:r>
    </w:p>
    <w:p w:rsidR="007E1BCD" w:rsidRPr="00CA5538" w:rsidP="007E1BCD" w14:paraId="189C5BED" w14:textId="77777777">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Antalet aktier ska vara lägst 15 000 000 och högst 60 000 000 aktier.</w:t>
      </w:r>
    </w:p>
    <w:p w:rsidR="00E2446C" w:rsidRPr="00CA5538" w:rsidP="00E2446C" w14:paraId="3264EF5E" w14:textId="77777777">
      <w:pPr>
        <w:spacing w:after="0" w:line="276" w:lineRule="auto"/>
        <w:ind w:left="1304" w:firstLine="4"/>
        <w:jc w:val="left"/>
        <w:rPr>
          <w:rFonts w:ascii="Times New Roman" w:hAnsi="Times New Roman"/>
          <w:color w:val="000000"/>
          <w:szCs w:val="22"/>
          <w:lang w:eastAsia="en-US"/>
        </w:rPr>
      </w:pPr>
    </w:p>
    <w:p w:rsidR="00E2446C" w:rsidRPr="00CA5538" w:rsidP="00E2446C" w14:paraId="488401D6" w14:textId="1DC73BA3">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6§</w:t>
        <w:tab/>
        <w:t>Aktieslag</w:t>
      </w:r>
    </w:p>
    <w:p w:rsidR="009964DF" w:rsidRPr="00CA5538" w:rsidP="009964DF" w14:paraId="1C158AA8" w14:textId="5832101A">
      <w:pPr>
        <w:spacing w:after="0" w:line="276" w:lineRule="auto"/>
        <w:ind w:left="1304" w:firstLine="4"/>
        <w:jc w:val="left"/>
        <w:rPr>
          <w:rFonts w:ascii="Times New Roman" w:hAnsi="Times New Roman"/>
          <w:color w:val="000000"/>
          <w:szCs w:val="22"/>
          <w:lang w:eastAsia="en-US"/>
        </w:rPr>
      </w:pPr>
      <w:r w:rsidRPr="009F7EDF">
        <w:rPr>
          <w:rFonts w:ascii="Times New Roman" w:hAnsi="Times New Roman"/>
          <w:color w:val="000000"/>
          <w:szCs w:val="22"/>
          <w:lang w:eastAsia="en-US"/>
        </w:rPr>
        <w:t>Aktier av tre slag kan ges ut: stamaktier med en (1) röst per aktie, C1-aktier med en tiondels (0,10) röst per aktie och C2-aktier med en tiondels (0,10) röst per aktie. Stamaktier kan ges ut till antal motsvarande hela aktiekapitalet. C1-aktier och C2-aktier kan ges ut till ett antal motsvarande totalt 10 procent av aktiekapitalet.</w:t>
      </w:r>
    </w:p>
    <w:p w:rsidR="00266735" w:rsidRPr="00CA5538" w:rsidP="00266735" w14:paraId="2C97ED2D" w14:textId="1C7B599E">
      <w:pPr>
        <w:spacing w:after="0" w:line="276" w:lineRule="auto"/>
        <w:jc w:val="left"/>
        <w:rPr>
          <w:rFonts w:ascii="Times New Roman" w:hAnsi="Times New Roman"/>
          <w:color w:val="000000"/>
          <w:szCs w:val="22"/>
          <w:lang w:eastAsia="en-US"/>
        </w:rPr>
      </w:pPr>
    </w:p>
    <w:p w:rsidR="009964DF" w:rsidRPr="00CA5538" w:rsidP="00514B35" w14:paraId="0794418A" w14:textId="1F3BCBA2">
      <w:pPr>
        <w:spacing w:after="0" w:line="276" w:lineRule="auto"/>
        <w:ind w:left="1304"/>
        <w:jc w:val="left"/>
        <w:rPr>
          <w:rFonts w:ascii="Times New Roman" w:hAnsi="Times New Roman"/>
          <w:color w:val="000000"/>
          <w:szCs w:val="22"/>
          <w:lang w:eastAsia="en-US"/>
        </w:rPr>
      </w:pPr>
      <w:r w:rsidRPr="009F7EDF">
        <w:rPr>
          <w:rFonts w:ascii="Times New Roman" w:hAnsi="Times New Roman"/>
          <w:color w:val="000000"/>
          <w:szCs w:val="22"/>
          <w:lang w:eastAsia="en-US"/>
        </w:rPr>
        <w:t>Stamaktier ska berättiga till utdelning. C1-aktier och C2-aktier berättigar inte till utdelning. Vid bolagets upplösning berättigar C1-aktier och C2-aktier till lika del i bolagets tillgångar som övriga aktier, dock inte med högre belopp än vad som motsvarar aktiens kvotvärde.</w:t>
      </w:r>
    </w:p>
    <w:p w:rsidR="0002625D" w:rsidRPr="00CA5538" w:rsidP="0002625D" w14:paraId="4F1AA477" w14:textId="77777777">
      <w:pPr>
        <w:spacing w:after="0" w:line="276" w:lineRule="auto"/>
        <w:ind w:left="1304" w:firstLine="4"/>
        <w:jc w:val="left"/>
        <w:rPr>
          <w:rFonts w:ascii="Times New Roman" w:hAnsi="Times New Roman"/>
          <w:color w:val="000000"/>
          <w:szCs w:val="22"/>
          <w:lang w:eastAsia="en-US"/>
        </w:rPr>
      </w:pPr>
    </w:p>
    <w:p w:rsidR="00963238" w:rsidRPr="00CA5538" w:rsidP="00963238" w14:paraId="39CDA3EB" w14:textId="2A31098F">
      <w:pPr>
        <w:spacing w:after="0" w:line="276" w:lineRule="auto"/>
        <w:ind w:left="1304" w:firstLine="4"/>
        <w:jc w:val="left"/>
        <w:rPr>
          <w:rFonts w:ascii="Times New Roman" w:hAnsi="Times New Roman"/>
          <w:color w:val="000000"/>
          <w:szCs w:val="22"/>
          <w:lang w:eastAsia="en-US"/>
        </w:rPr>
      </w:pPr>
      <w:r w:rsidRPr="009F7EDF">
        <w:rPr>
          <w:rFonts w:ascii="Times New Roman" w:hAnsi="Times New Roman"/>
          <w:color w:val="000000"/>
          <w:szCs w:val="22"/>
          <w:lang w:eastAsia="en-US"/>
        </w:rPr>
        <w:t>Beslutar bolaget att genom kontant- eller kvittningsemission ge ut nya aktier av flera aktieslag, ska ägare av respektive aktieslag ha företrädesrätt att teckna nya aktier av samma aktieslag i förhållande till det antal aktier de förut äger (primär företrädesrätt). Aktier som inte tecknats med primär företrädesrätt ska erbjudas samtliga aktieägare (subsidiär företrädesrätt). Om inte hela antalet aktier som tecknas på grund av den subsidiära företrädesrätten kan ges ut, ska aktierna fördelas mellan tecknarna i förhållande till det antal aktier som de förut äger och, i den mån detta inte kan ske, genom lottning.</w:t>
      </w:r>
    </w:p>
    <w:p w:rsidR="003E70B7" w:rsidRPr="00CA5538" w:rsidP="00963238" w14:paraId="4D4E46FC" w14:textId="77777777">
      <w:pPr>
        <w:spacing w:after="0" w:line="276" w:lineRule="auto"/>
        <w:ind w:left="1304" w:firstLine="4"/>
        <w:jc w:val="left"/>
        <w:rPr>
          <w:rFonts w:ascii="Times New Roman" w:hAnsi="Times New Roman"/>
          <w:color w:val="000000"/>
          <w:szCs w:val="22"/>
          <w:lang w:eastAsia="en-US"/>
        </w:rPr>
      </w:pPr>
    </w:p>
    <w:p w:rsidR="00963238" w:rsidRPr="00CA5538" w:rsidP="00963238" w14:paraId="21163914" w14:textId="56836034">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Beslutar bolaget att genom kontant- eller kvittningsemission ge ut aktier av endast ett aktieslag, ska samtliga aktieägare, oavsett aktieslag, ha företrädesrätt att teckna nya aktier i förhållande till det antal aktier som de förut äger. </w:t>
      </w:r>
    </w:p>
    <w:p w:rsidR="00963238" w:rsidRPr="00CA5538" w:rsidP="00963238" w14:paraId="1B9F5715" w14:textId="77777777">
      <w:pPr>
        <w:spacing w:after="0" w:line="276" w:lineRule="auto"/>
        <w:ind w:left="1304" w:firstLine="4"/>
        <w:jc w:val="left"/>
        <w:rPr>
          <w:rFonts w:ascii="Times New Roman" w:hAnsi="Times New Roman"/>
          <w:color w:val="000000"/>
          <w:szCs w:val="22"/>
          <w:lang w:eastAsia="en-US"/>
        </w:rPr>
      </w:pPr>
    </w:p>
    <w:p w:rsidR="00963238" w:rsidRPr="00CA5538" w:rsidP="00963238" w14:paraId="0F0845BC" w14:textId="76F1A3CD">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Beslutar bolaget att genom kontant- eller kvittningsemission ge ut teckningsoptioner eller konvertibler ska aktieägarna ha företrädesrätt att teckna teckningsoptioner som om emissionen gällde de aktier som kan komma att nytecknas på grund av optionsrätten respektive företrädesrätt att teckna konvertibler som om emissionen gällde de aktier som konvertiblerna kan komma att bytas ut mot. </w:t>
      </w:r>
    </w:p>
    <w:p w:rsidR="00963238" w:rsidRPr="00CA5538" w:rsidP="00963238" w14:paraId="3380CBEA" w14:textId="77777777">
      <w:pPr>
        <w:spacing w:after="0" w:line="276" w:lineRule="auto"/>
        <w:ind w:left="1304" w:firstLine="4"/>
        <w:jc w:val="left"/>
        <w:rPr>
          <w:rFonts w:ascii="Times New Roman" w:hAnsi="Times New Roman"/>
          <w:color w:val="000000"/>
          <w:szCs w:val="22"/>
          <w:lang w:eastAsia="en-US"/>
        </w:rPr>
      </w:pPr>
    </w:p>
    <w:p w:rsidR="00963238" w:rsidRPr="00CA5538" w:rsidP="00963238" w14:paraId="6C986B69" w14:textId="21ECDBE9">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Vad som ovan sagts ska inte innebära någon inskränkning i möjligheterna att fatta beslut om emission med avvikelse från aktieägarnas företrädesrätt.</w:t>
      </w:r>
    </w:p>
    <w:p w:rsidR="00963238" w:rsidRPr="00CA5538" w:rsidP="00963238" w14:paraId="2019002D" w14:textId="77777777">
      <w:pPr>
        <w:spacing w:after="0" w:line="276" w:lineRule="auto"/>
        <w:ind w:left="1304" w:firstLine="4"/>
        <w:jc w:val="left"/>
        <w:rPr>
          <w:rFonts w:ascii="Times New Roman" w:hAnsi="Times New Roman"/>
          <w:color w:val="000000"/>
          <w:szCs w:val="22"/>
          <w:lang w:eastAsia="en-US"/>
        </w:rPr>
      </w:pPr>
    </w:p>
    <w:p w:rsidR="00266735" w:rsidRPr="00CA5538" w:rsidP="00963238" w14:paraId="463868C5" w14:textId="16BD4C71">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Vid ökning av aktiekapitalet genom fondemission ska nya aktier emitteras av varje aktieslag i förhållande till det antal aktier av samma slag som finns sedan tidigare. Därvid ska gamla aktier av visst aktieslag ge rätt till nya aktier av samma aktieslag. Vad nu sagts ska inte innebära någon inskränkning i möjligheten att genom fondemission, efter erforderlig ändring av bolagsordningen, ge ut aktier av nytt slag. </w:t>
      </w:r>
    </w:p>
    <w:p w:rsidR="00266735" w:rsidRPr="00CA5538" w:rsidP="0002625D" w14:paraId="3AFAA88D" w14:textId="77777777">
      <w:pPr>
        <w:spacing w:after="0" w:line="276" w:lineRule="auto"/>
        <w:ind w:left="1304" w:firstLine="4"/>
        <w:jc w:val="left"/>
        <w:rPr>
          <w:rFonts w:ascii="Times New Roman" w:hAnsi="Times New Roman"/>
          <w:color w:val="000000"/>
          <w:szCs w:val="22"/>
          <w:lang w:eastAsia="en-US"/>
        </w:rPr>
      </w:pPr>
    </w:p>
    <w:p w:rsidR="00963238" w:rsidRPr="00CA5538" w:rsidP="00963238" w14:paraId="13E2E87A" w14:textId="772A59DF">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 xml:space="preserve">7§ </w:t>
        <w:tab/>
        <w:t>Omvandlings- och inlösenförbehåll</w:t>
      </w:r>
    </w:p>
    <w:p w:rsidR="004C4A98" w:rsidRPr="00CA5538" w:rsidP="009964DF" w14:paraId="56E241E1" w14:textId="170BA779">
      <w:pPr>
        <w:spacing w:after="0" w:line="276" w:lineRule="auto"/>
        <w:ind w:left="1304" w:firstLine="4"/>
        <w:jc w:val="left"/>
        <w:rPr>
          <w:rFonts w:ascii="Times New Roman" w:hAnsi="Times New Roman"/>
          <w:i/>
          <w:iCs/>
          <w:color w:val="000000"/>
          <w:szCs w:val="22"/>
          <w:lang w:eastAsia="en-US"/>
        </w:rPr>
      </w:pPr>
      <w:r w:rsidR="009F7EDF">
        <w:rPr>
          <w:rFonts w:ascii="Times New Roman" w:hAnsi="Times New Roman"/>
          <w:i/>
          <w:iCs/>
          <w:color w:val="000000"/>
          <w:szCs w:val="22"/>
          <w:lang w:eastAsia="en-US"/>
        </w:rPr>
        <w:t>Omvandling av C1-aktier och C2-aktier</w:t>
      </w:r>
    </w:p>
    <w:p w:rsidR="009964DF" w:rsidRPr="00CA5538" w:rsidP="009964DF" w14:paraId="3E094867" w14:textId="7B0611A7">
      <w:pPr>
        <w:spacing w:after="0" w:line="276" w:lineRule="auto"/>
        <w:ind w:left="1304" w:firstLine="4"/>
        <w:jc w:val="left"/>
        <w:rPr>
          <w:rFonts w:ascii="Times New Roman" w:hAnsi="Times New Roman"/>
        </w:rPr>
      </w:pPr>
      <w:r w:rsidRPr="009F7EDF" w:rsidR="009F7EDF">
        <w:rPr>
          <w:rFonts w:ascii="Times New Roman" w:hAnsi="Times New Roman"/>
        </w:rPr>
        <w:t>Aktier av serie C1 respektive serie C2 kan omvandlas till stamaktier efter beslut av styrelsen. Styrelsen ska, förutsatt att villkoret för omvandling är uppfyllt, besluta om sådan omvandling av C1-aktier under perioden från och med dagen efter årsstämman 2028 till och med dagen före årsstämman 2029, och av C2-aktier under perioden från och med dagen efter årsstämman 2029 till och med dagen före årsstämman 2030.</w:t>
      </w:r>
    </w:p>
    <w:p w:rsidR="00AC5765" w:rsidRPr="00CA5538" w:rsidP="009964DF" w14:paraId="0BA240EF" w14:textId="77777777">
      <w:pPr>
        <w:spacing w:after="0" w:line="276" w:lineRule="auto"/>
        <w:ind w:left="1304" w:firstLine="4"/>
        <w:jc w:val="left"/>
        <w:rPr>
          <w:rFonts w:ascii="Times New Roman" w:hAnsi="Times New Roman"/>
          <w:color w:val="000000"/>
          <w:szCs w:val="22"/>
          <w:lang w:eastAsia="en-US"/>
        </w:rPr>
      </w:pPr>
    </w:p>
    <w:p w:rsidR="00B45311" w:rsidRPr="00CA5538" w:rsidP="009964DF" w14:paraId="5BF7AB3F" w14:textId="43214176">
      <w:pPr>
        <w:spacing w:after="0" w:line="276" w:lineRule="auto"/>
        <w:ind w:left="1304" w:firstLine="4"/>
        <w:jc w:val="left"/>
        <w:rPr>
          <w:rFonts w:ascii="Times New Roman" w:hAnsi="Times New Roman"/>
          <w:color w:val="000000"/>
          <w:szCs w:val="22"/>
          <w:lang w:eastAsia="en-US"/>
        </w:rPr>
      </w:pPr>
      <w:r w:rsidRPr="009F7EDF" w:rsidR="009F7EDF">
        <w:rPr>
          <w:rFonts w:ascii="Times New Roman" w:hAnsi="Times New Roman"/>
          <w:color w:val="000000"/>
          <w:szCs w:val="22"/>
          <w:lang w:eastAsia="en-US"/>
        </w:rPr>
        <w:t>Villkoret för omvandling av C1-aktier respektive C2-aktier till stamaktier är (i) att den volymviktade genomsnittskursen för bolagets stamaktie på Nasdaq First North Growth Market, eller reglerad marknad eller annan handelsplattform vid vilken stamaktien är upptagen till handel, under 10 åtföljande handelsdagar under ovan nämnda tidsperiod, alternativt (ii) i avsaknad av tillämplig kurs för bolagets stamaktie enligt ovan, att marknadsvärdet för bolagets stamaktie per ovan nämnda tidpunkt, fastställt enligt etablerade värderingsprinciper, (”Stängningskursen”) uppgår till mer än 130 procent av den volymviktade genomsnittskursen för bolagets stamaktie på Nasdaq First North Growth Market under de 10 handelsdagar som, såvitt avser C1-aktier, följer omedelbart före bolagets första erbjudande om att teckna C1-aktier och, såvitt avser C2-aktier, följer omedelbart före bolagets första erbjudande om att teckna C2-aktier (”Tröskelvärdet”).</w:t>
      </w:r>
    </w:p>
    <w:p w:rsidR="009964DF" w:rsidRPr="00CA5538" w:rsidP="009964DF" w14:paraId="6BA5452D" w14:textId="77777777">
      <w:pPr>
        <w:spacing w:after="0" w:line="276" w:lineRule="auto"/>
        <w:ind w:left="1304" w:firstLine="4"/>
        <w:jc w:val="left"/>
        <w:rPr>
          <w:rFonts w:ascii="Times New Roman" w:hAnsi="Times New Roman"/>
          <w:color w:val="000000"/>
          <w:szCs w:val="22"/>
          <w:lang w:eastAsia="en-US"/>
        </w:rPr>
      </w:pPr>
    </w:p>
    <w:p w:rsidR="00CC5488" w:rsidRPr="00CA5538" w:rsidP="00880394" w14:paraId="10FD8460" w14:textId="26B4D625">
      <w:pPr>
        <w:spacing w:after="240" w:line="276" w:lineRule="auto"/>
        <w:ind w:left="1304" w:firstLine="6"/>
        <w:jc w:val="left"/>
        <w:rPr>
          <w:rFonts w:ascii="Times New Roman" w:hAnsi="Times New Roman"/>
          <w:color w:val="000000"/>
          <w:szCs w:val="22"/>
          <w:lang w:eastAsia="en-US"/>
        </w:rPr>
      </w:pPr>
      <w:r w:rsidRPr="009F7EDF" w:rsidR="009F7EDF">
        <w:rPr>
          <w:rFonts w:ascii="Times New Roman" w:hAnsi="Times New Roman"/>
        </w:rPr>
        <w:t>Förutsatt villkorets uppfyllande ska styrelsen, förutsatt att erforderliga myndighetsgodkännanden har erhållits, besluta att omvandla ett visst antal C1-aktier eller C2-aktier till stamaktier som bestäms enligt nedanstående formel. Omvandling ska ske pro rata i förhållande till varje aktieägares innehav av C1-aktier eller C2-aktier vid tidpunkten för beslutet om omvandlingen.</w:t>
      </w:r>
    </w:p>
    <w:tbl>
      <w:tblPr>
        <w:tblStyle w:val="TableTheme"/>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245"/>
      </w:tblGrid>
      <w:tr w14:paraId="638D689B" w14:textId="77777777" w:rsidTr="00E42684">
        <w:tblPrEx>
          <w:tblW w:w="0" w:type="auto"/>
          <w:tblInd w:w="1413" w:type="dxa"/>
          <w:tblLook w:val="04A0"/>
        </w:tblPrEx>
        <w:tc>
          <w:tcPr>
            <w:tcW w:w="1843" w:type="dxa"/>
            <w:vMerge w:val="restart"/>
          </w:tcPr>
          <w:p w:rsidR="00AC5765" w:rsidRPr="00CA5538" w:rsidP="0023149B" w14:paraId="081A6AC7" w14:textId="77777777">
            <w:pPr>
              <w:pStyle w:val="NormalWeb"/>
              <w:rPr>
                <w:rFonts w:ascii="Times New Roman" w:hAnsi="Times New Roman" w:cs="Times New Roman"/>
                <w:bCs/>
                <w:i/>
                <w:iCs/>
              </w:rPr>
            </w:pPr>
          </w:p>
          <w:p w:rsidR="00AC5765" w:rsidRPr="00CA5538" w:rsidP="0023149B" w14:paraId="12DE837A" w14:textId="3FA62C9B">
            <w:pPr>
              <w:pStyle w:val="NormalWeb"/>
              <w:rPr>
                <w:rFonts w:ascii="Times New Roman" w:hAnsi="Times New Roman" w:cs="Times New Roman"/>
                <w:bCs/>
                <w:i/>
                <w:iCs/>
              </w:rPr>
            </w:pPr>
            <w:r w:rsidRPr="00CA5538">
              <w:rPr>
                <w:rFonts w:ascii="Times New Roman" w:hAnsi="Times New Roman" w:cs="Times New Roman"/>
                <w:bCs/>
                <w:i/>
                <w:iCs/>
              </w:rPr>
              <w:t>Antal C1-aktier eller C2-aktier som ska omvandlas =</w:t>
            </w:r>
          </w:p>
        </w:tc>
        <w:tc>
          <w:tcPr>
            <w:tcW w:w="5245" w:type="dxa"/>
            <w:tcBorders>
              <w:bottom w:val="single" w:sz="4" w:space="0" w:color="auto"/>
            </w:tcBorders>
          </w:tcPr>
          <w:p w:rsidR="00AC5765" w:rsidRPr="00CA5538" w:rsidP="0023149B" w14:paraId="7D6695CA" w14:textId="634CFD17">
            <w:pPr>
              <w:pStyle w:val="NormalWeb"/>
              <w:jc w:val="center"/>
              <w:rPr>
                <w:rFonts w:ascii="Times New Roman" w:hAnsi="Times New Roman" w:cs="Times New Roman"/>
                <w:bCs/>
                <w:i/>
                <w:iCs/>
              </w:rPr>
            </w:pPr>
            <w:r w:rsidRPr="00CA5538">
              <w:rPr>
                <w:rFonts w:ascii="Times New Roman" w:hAnsi="Times New Roman" w:cs="Times New Roman"/>
                <w:bCs/>
                <w:i/>
                <w:iCs/>
              </w:rPr>
              <w:t xml:space="preserve">(Stängningskursen – Tröskelvärdet) </w:t>
              <w:br/>
              <w:t>x antalet utestående C1-aktier eller C2-aktier</w:t>
              <w:br/>
              <w:t>x omräkningsfaktor</w:t>
            </w:r>
            <w:r>
              <w:rPr>
                <w:rFonts w:ascii="Times New Roman" w:hAnsi="Times New Roman" w:cs="Times New Roman"/>
                <w:bCs/>
                <w:i/>
                <w:iCs/>
                <w:vertAlign w:val="superscript"/>
              </w:rPr>
              <w:footnoteReference w:id="2"/>
            </w:r>
          </w:p>
        </w:tc>
      </w:tr>
      <w:tr w14:paraId="0B50B5CA" w14:textId="77777777" w:rsidTr="00E42684">
        <w:tblPrEx>
          <w:tblW w:w="0" w:type="auto"/>
          <w:tblInd w:w="1413" w:type="dxa"/>
          <w:tblLook w:val="04A0"/>
        </w:tblPrEx>
        <w:tc>
          <w:tcPr>
            <w:tcW w:w="1843" w:type="dxa"/>
            <w:vMerge/>
          </w:tcPr>
          <w:p w:rsidR="00AC5765" w:rsidRPr="00CA5538" w:rsidP="0023149B" w14:paraId="42F2F6D2" w14:textId="01190826">
            <w:pPr>
              <w:pStyle w:val="NormalWeb"/>
              <w:rPr>
                <w:rFonts w:ascii="Times New Roman" w:hAnsi="Times New Roman" w:cs="Times New Roman"/>
                <w:bCs/>
                <w:i/>
                <w:iCs/>
              </w:rPr>
            </w:pPr>
          </w:p>
        </w:tc>
        <w:tc>
          <w:tcPr>
            <w:tcW w:w="5245" w:type="dxa"/>
            <w:tcBorders>
              <w:top w:val="single" w:sz="4" w:space="0" w:color="auto"/>
            </w:tcBorders>
          </w:tcPr>
          <w:p w:rsidR="00AC5765" w:rsidRPr="00CA5538" w:rsidP="0023149B" w14:paraId="301E3A61" w14:textId="216164D9">
            <w:pPr>
              <w:pStyle w:val="NormalWeb"/>
              <w:jc w:val="center"/>
              <w:rPr>
                <w:rFonts w:ascii="Times New Roman" w:hAnsi="Times New Roman" w:cs="Times New Roman"/>
                <w:bCs/>
                <w:i/>
                <w:iCs/>
              </w:rPr>
            </w:pPr>
            <w:r w:rsidRPr="00CA5538">
              <w:rPr>
                <w:rFonts w:ascii="Times New Roman" w:hAnsi="Times New Roman" w:cs="Times New Roman"/>
                <w:bCs/>
                <w:i/>
                <w:iCs/>
              </w:rPr>
              <w:t>Stängningskursen</w:t>
            </w:r>
          </w:p>
          <w:p w:rsidR="00AC5765" w:rsidRPr="00CA5538" w:rsidP="0023149B" w14:paraId="7DF3C16F" w14:textId="6EDC99A3">
            <w:pPr>
              <w:pStyle w:val="NormalWeb"/>
              <w:jc w:val="center"/>
              <w:rPr>
                <w:rFonts w:ascii="Times New Roman" w:hAnsi="Times New Roman" w:cs="Times New Roman"/>
                <w:bCs/>
                <w:i/>
                <w:iCs/>
              </w:rPr>
            </w:pPr>
          </w:p>
        </w:tc>
      </w:tr>
    </w:tbl>
    <w:p w:rsidR="00013B35" w:rsidRPr="00CA5538" w:rsidP="005D33E9" w14:paraId="6AC4CAE2" w14:textId="77777777">
      <w:pPr>
        <w:spacing w:after="0" w:line="276" w:lineRule="auto"/>
        <w:ind w:left="1304" w:firstLine="4"/>
        <w:jc w:val="left"/>
        <w:rPr>
          <w:rFonts w:ascii="Times New Roman" w:hAnsi="Times New Roman"/>
          <w:color w:val="000000"/>
          <w:szCs w:val="22"/>
          <w:lang w:eastAsia="en-US"/>
        </w:rPr>
      </w:pPr>
    </w:p>
    <w:p w:rsidR="00013B35" w:rsidRPr="00CA5538" w:rsidP="005D33E9" w14:paraId="5A8598BF" w14:textId="77777777">
      <w:pPr>
        <w:spacing w:after="0" w:line="276" w:lineRule="auto"/>
        <w:ind w:left="1304" w:firstLine="4"/>
        <w:jc w:val="left"/>
        <w:rPr>
          <w:rFonts w:ascii="Times New Roman" w:hAnsi="Times New Roman"/>
          <w:color w:val="000000"/>
          <w:szCs w:val="22"/>
          <w:lang w:eastAsia="en-US"/>
        </w:rPr>
      </w:pPr>
    </w:p>
    <w:p w:rsidR="00013B35" w:rsidP="00E2446C" w14:paraId="63F0042F" w14:textId="7FC0D946">
      <w:pPr>
        <w:spacing w:after="0" w:line="276" w:lineRule="auto"/>
        <w:ind w:left="1304" w:firstLine="4"/>
        <w:jc w:val="left"/>
        <w:rPr>
          <w:rFonts w:ascii="Times New Roman" w:hAnsi="Times New Roman"/>
          <w:color w:val="000000"/>
          <w:szCs w:val="22"/>
          <w:lang w:eastAsia="en-US"/>
        </w:rPr>
      </w:pPr>
      <w:r w:rsidRPr="009F7EDF" w:rsidR="009F7EDF">
        <w:rPr>
          <w:rFonts w:ascii="Times New Roman" w:hAnsi="Times New Roman"/>
          <w:color w:val="000000"/>
          <w:szCs w:val="22"/>
          <w:lang w:eastAsia="en-US"/>
        </w:rPr>
        <w:t>Endast ett helt antal aktier kan omvandlas, varvid avrundning ska ske nedåt till närmaste hela stamaktie. Tröskelvärdet och omräkningsfaktorn ska bli föremål för omräkning till följd av sammanläggning eller uppdelning av aktier, emissioner med företrädesrätt, extraordinär utdelning eller liknande bolagshändelser som sker före omvandling, med beaktande av sedvanliga principer för omräkning i options- och aktiebaserade incitamentsprogram på aktiemarknaden efter beslut av styrelsen.</w:t>
      </w:r>
    </w:p>
    <w:p w:rsidR="009F7EDF" w:rsidRPr="00CA5538" w:rsidP="00E2446C" w14:paraId="01966829" w14:textId="77777777">
      <w:pPr>
        <w:spacing w:after="0" w:line="276" w:lineRule="auto"/>
        <w:ind w:left="1304" w:firstLine="4"/>
        <w:jc w:val="left"/>
        <w:rPr>
          <w:rFonts w:ascii="Times New Roman" w:hAnsi="Times New Roman"/>
          <w:color w:val="000000"/>
          <w:szCs w:val="22"/>
          <w:lang w:eastAsia="en-US"/>
        </w:rPr>
      </w:pPr>
    </w:p>
    <w:p w:rsidR="00013B35" w:rsidRPr="00CA5538" w:rsidP="00E2446C" w14:paraId="165B71B0" w14:textId="4E0086A2">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Omedelbart efter att ett beslut om att omvandla aktier fattats, ska styrelsen anmäla omvandlingen till Bolagsverket för registrering. Omvandlingen är verkställd när registrering har skett och omvandlingen antecknats i avstämningsregistret.</w:t>
      </w:r>
    </w:p>
    <w:p w:rsidR="00013B35" w:rsidRPr="00CA5538" w:rsidP="00E2446C" w14:paraId="4CBE6D7F" w14:textId="77777777">
      <w:pPr>
        <w:spacing w:after="0" w:line="276" w:lineRule="auto"/>
        <w:ind w:left="1304" w:firstLine="4"/>
        <w:jc w:val="left"/>
        <w:rPr>
          <w:rFonts w:ascii="Times New Roman" w:hAnsi="Times New Roman"/>
          <w:color w:val="000000"/>
          <w:szCs w:val="22"/>
          <w:lang w:eastAsia="en-US"/>
        </w:rPr>
      </w:pPr>
    </w:p>
    <w:p w:rsidR="00BF61E4" w:rsidRPr="00CA5538" w:rsidP="00BF61E4" w14:paraId="3733FBC2" w14:textId="15551786">
      <w:pPr>
        <w:spacing w:after="0" w:line="276" w:lineRule="auto"/>
        <w:ind w:left="1304" w:firstLine="4"/>
        <w:jc w:val="left"/>
        <w:rPr>
          <w:rFonts w:ascii="Times New Roman" w:hAnsi="Times New Roman"/>
          <w:i/>
          <w:iCs/>
          <w:color w:val="000000"/>
          <w:szCs w:val="22"/>
          <w:lang w:eastAsia="en-US"/>
        </w:rPr>
      </w:pPr>
      <w:r w:rsidR="009F7EDF">
        <w:rPr>
          <w:rFonts w:ascii="Times New Roman" w:hAnsi="Times New Roman"/>
          <w:i/>
          <w:iCs/>
          <w:color w:val="000000"/>
          <w:szCs w:val="22"/>
          <w:lang w:eastAsia="en-US"/>
        </w:rPr>
        <w:t>Inlösen av C1-aktier och C2-aktier</w:t>
      </w:r>
    </w:p>
    <w:p w:rsidR="00BF61E4" w:rsidRPr="00CA5538" w:rsidP="00BF61E4" w14:paraId="37B16D1E" w14:textId="4B8C4B1C">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Aktiekapitalet kan minskas genom inlösen av C1-aktier och C2-aktier, efter beslut av styrelsen, dock inte under minimikapitalet, i enlighet med vad som anges nedan.</w:t>
      </w:r>
    </w:p>
    <w:p w:rsidR="00BF61E4" w:rsidRPr="00CA5538" w:rsidP="00BF61E4" w14:paraId="2CB3F70F" w14:textId="77777777">
      <w:pPr>
        <w:spacing w:after="0" w:line="276" w:lineRule="auto"/>
        <w:ind w:left="1304" w:firstLine="4"/>
        <w:jc w:val="left"/>
        <w:rPr>
          <w:rFonts w:ascii="Times New Roman" w:hAnsi="Times New Roman"/>
          <w:color w:val="000000"/>
          <w:szCs w:val="22"/>
          <w:lang w:eastAsia="en-US"/>
        </w:rPr>
      </w:pPr>
    </w:p>
    <w:p w:rsidR="00D17556" w:rsidRPr="00CA5538" w:rsidP="00D17556" w14:paraId="2E9D43C3" w14:textId="6A5D450C">
      <w:pPr>
        <w:spacing w:after="0" w:line="276" w:lineRule="auto"/>
        <w:ind w:left="1304" w:firstLine="4"/>
        <w:jc w:val="left"/>
        <w:rPr>
          <w:rFonts w:ascii="Times New Roman" w:hAnsi="Times New Roman"/>
          <w:color w:val="000000"/>
          <w:szCs w:val="22"/>
          <w:lang w:eastAsia="en-US"/>
        </w:rPr>
      </w:pPr>
      <w:r w:rsidR="009F7EDF">
        <w:rPr>
          <w:rFonts w:ascii="Times New Roman" w:hAnsi="Times New Roman"/>
          <w:color w:val="000000"/>
          <w:szCs w:val="22"/>
          <w:lang w:eastAsia="en-US"/>
        </w:rPr>
        <w:t>Omgående efter det tidigare av (i) styrelsens beslut om omvandling av C1-aktier/C2-aktier till stamaktier enligt ovan, och (ii) utgången av respektive period för omvandling enligt ovan, ska styrelsen besluta om inlösen av de C1-aktier/C2-aktier som inte omvandlats. Inlösenbeloppet per aktie ska uppgå till aktiens kvotvärde.</w:t>
      </w:r>
    </w:p>
    <w:p w:rsidR="00112776" w:rsidRPr="00CA5538" w:rsidP="00D17556" w14:paraId="46E26CC7" w14:textId="77777777">
      <w:pPr>
        <w:spacing w:after="0" w:line="276" w:lineRule="auto"/>
        <w:ind w:left="1304" w:firstLine="4"/>
        <w:jc w:val="left"/>
        <w:rPr>
          <w:rFonts w:ascii="Times New Roman" w:hAnsi="Times New Roman"/>
          <w:color w:val="000000"/>
          <w:szCs w:val="22"/>
          <w:lang w:eastAsia="en-US"/>
        </w:rPr>
      </w:pPr>
    </w:p>
    <w:p w:rsidR="003E70B7" w:rsidRPr="00CA5538" w:rsidP="00112776" w14:paraId="0EFCC829" w14:textId="63087EA5">
      <w:pPr>
        <w:spacing w:after="0" w:line="276" w:lineRule="auto"/>
        <w:ind w:left="1304" w:firstLine="4"/>
        <w:jc w:val="left"/>
        <w:rPr>
          <w:rFonts w:ascii="Times New Roman" w:hAnsi="Times New Roman"/>
          <w:color w:val="000000"/>
          <w:szCs w:val="22"/>
          <w:lang w:eastAsia="en-US"/>
        </w:rPr>
      </w:pPr>
      <w:r w:rsidRPr="00CA5538" w:rsidR="008C6395">
        <w:rPr>
          <w:rFonts w:ascii="Times New Roman" w:hAnsi="Times New Roman"/>
          <w:color w:val="000000"/>
          <w:szCs w:val="22"/>
          <w:lang w:eastAsia="en-US"/>
        </w:rPr>
        <w:t xml:space="preserve">Minskning av aktiekapitalet kan även ske efter begäran därom av innehavare av C1-aktier/C2-aktier och efter beslut av styrelsen, genom inlösen av aktieägarens C1-aktier/C2-aktier. Inlösenbeloppet per aktie ska uppgå till det lägre av (a) den genomsnittliga teckningskursen för samtliga C1-aktier/C2-aktier och (b) aktiens marknadsvärde vid tidpunkten för styrelsens beslut. Ett sådant beslut av styrelsen ska fattas senast inom en månad efter begäran av aktieägaren. </w:t>
      </w:r>
    </w:p>
    <w:p w:rsidR="003E70B7" w:rsidRPr="00CA5538" w:rsidP="00112776" w14:paraId="09B6039C" w14:textId="77777777">
      <w:pPr>
        <w:spacing w:after="0" w:line="276" w:lineRule="auto"/>
        <w:ind w:left="1304" w:firstLine="4"/>
        <w:jc w:val="left"/>
        <w:rPr>
          <w:rFonts w:ascii="Times New Roman" w:hAnsi="Times New Roman"/>
          <w:color w:val="000000"/>
          <w:szCs w:val="22"/>
          <w:lang w:eastAsia="en-US"/>
        </w:rPr>
      </w:pPr>
    </w:p>
    <w:p w:rsidR="00112776" w:rsidRPr="00CA5538" w:rsidP="00112776" w14:paraId="06DEEC10" w14:textId="6EE3FDFE">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Inlösenbeloppet ska erläggas snarast efter styrelsens beslut om inlösen av aktie registrerats eller, för det fall tillstånd till minskningen erfordras från Bolagsverket eller allmän domstol, senast tre månader från det att lagakraftvunnet beslut att lämna tillstånd registrerats.</w:t>
      </w:r>
    </w:p>
    <w:p w:rsidR="00C052DF" w:rsidRPr="00CA5538" w:rsidP="00C052DF" w14:paraId="1EF504EC" w14:textId="77777777">
      <w:pPr>
        <w:spacing w:after="0" w:line="276" w:lineRule="auto"/>
        <w:ind w:left="1304" w:firstLine="4"/>
        <w:jc w:val="left"/>
        <w:rPr>
          <w:rFonts w:ascii="Times New Roman" w:hAnsi="Times New Roman"/>
          <w:color w:val="000000"/>
          <w:szCs w:val="22"/>
          <w:lang w:eastAsia="en-US"/>
        </w:rPr>
      </w:pPr>
    </w:p>
    <w:p w:rsidR="00E2446C" w:rsidRPr="00CA5538" w:rsidP="00E2446C" w14:paraId="322B7B6A" w14:textId="01088613">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När ett beslut om inlösen av C1-aktier/C2-aktier har fattats, ska ett belopp motsvarande minskningsbeloppet avsättas till reservfonden om härför erforderliga medel finns tillgängliga. Omedelbart efter att ett beslut om inlösen har fattats, ska styrelsen anmäla inlösen för registrering till Bolagsverket. Inlösen är verkställd när registrering har skett och inlösen har antecknats i avstämningsregistret.</w:t>
      </w:r>
    </w:p>
    <w:p w:rsidR="00FE60BB" w:rsidRPr="00CA5538" w:rsidP="00FE60BB" w14:paraId="3747964F" w14:textId="77777777">
      <w:pPr>
        <w:spacing w:after="0" w:line="276" w:lineRule="auto"/>
        <w:ind w:left="1304" w:firstLine="4"/>
        <w:jc w:val="left"/>
        <w:rPr>
          <w:rFonts w:ascii="Times New Roman" w:hAnsi="Times New Roman"/>
          <w:color w:val="000000"/>
          <w:szCs w:val="22"/>
          <w:lang w:eastAsia="en-US"/>
        </w:rPr>
      </w:pPr>
    </w:p>
    <w:p w:rsidR="008C6395" w:rsidRPr="00CA5538" w:rsidP="008C6395" w14:paraId="36E30D08" w14:textId="0BE85911">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8§</w:t>
        <w:tab/>
        <w:t>Avstämningsbolag</w:t>
      </w:r>
    </w:p>
    <w:p w:rsidR="008C6395" w:rsidRPr="00CA5538" w:rsidP="008C6395" w14:paraId="3F77CCCA" w14:textId="77777777">
      <w:pPr>
        <w:spacing w:after="0" w:line="276" w:lineRule="auto"/>
        <w:ind w:left="1304" w:firstLine="4"/>
        <w:jc w:val="left"/>
        <w:rPr>
          <w:rFonts w:ascii="Times New Roman" w:hAnsi="Times New Roman"/>
          <w:color w:val="000000"/>
          <w:szCs w:val="22"/>
          <w:lang w:eastAsia="en-US"/>
        </w:rPr>
      </w:pPr>
      <w:r w:rsidRPr="00CA5538">
        <w:rPr>
          <w:rFonts w:ascii="Times New Roman" w:hAnsi="Times New Roman"/>
          <w:color w:val="000000"/>
          <w:szCs w:val="22"/>
          <w:lang w:eastAsia="en-US"/>
        </w:rPr>
        <w:t>Bolagets aktier ska vara registrerade i ett avstämningsregister enligt lagen (1998:1479) om värdepapperscentraler och kontoföring av finansiella instrument.</w:t>
      </w:r>
    </w:p>
    <w:p w:rsidR="00A91F48" w:rsidRPr="00CA5538" w:rsidP="008C6395" w14:paraId="25B2CAE1" w14:textId="77777777">
      <w:pPr>
        <w:spacing w:after="0" w:line="276" w:lineRule="auto"/>
        <w:jc w:val="left"/>
        <w:rPr>
          <w:rFonts w:ascii="Times New Roman" w:hAnsi="Times New Roman"/>
          <w:color w:val="000000"/>
          <w:szCs w:val="22"/>
          <w:lang w:eastAsia="en-US"/>
        </w:rPr>
      </w:pPr>
    </w:p>
    <w:p w:rsidR="007E1BCD" w:rsidRPr="00CA5538" w:rsidP="007E1BCD" w14:paraId="0D3DD4F7" w14:textId="42CFD13B">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 xml:space="preserve">9§ </w:t>
        <w:tab/>
        <w:t>Styrelse</w:t>
      </w:r>
    </w:p>
    <w:p w:rsidR="007E1BCD" w:rsidRPr="00CA5538" w:rsidP="007E1BCD" w14:paraId="181FBEE1" w14:textId="77777777">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Styrelsen ska bestå av lägst 3-10 styrelseledamöter med högst 4 suppleanter. Styrelsen väljs på årsstämma för tiden intill slutet av nästa årsstämma.</w:t>
      </w:r>
    </w:p>
    <w:p w:rsidR="007E1BCD" w:rsidP="007E1BCD" w14:paraId="14EA8B97" w14:textId="77777777">
      <w:pPr>
        <w:spacing w:after="0" w:line="276" w:lineRule="auto"/>
        <w:ind w:left="1304"/>
        <w:jc w:val="left"/>
        <w:rPr>
          <w:rFonts w:ascii="Times New Roman" w:hAnsi="Times New Roman"/>
          <w:color w:val="000000"/>
          <w:szCs w:val="22"/>
          <w:lang w:eastAsia="en-US"/>
        </w:rPr>
      </w:pPr>
    </w:p>
    <w:p w:rsidR="006549D2" w:rsidP="007E1BCD" w14:paraId="4ACF419A" w14:textId="77777777">
      <w:pPr>
        <w:spacing w:after="0" w:line="276" w:lineRule="auto"/>
        <w:ind w:left="1304"/>
        <w:jc w:val="left"/>
        <w:rPr>
          <w:rFonts w:ascii="Times New Roman" w:hAnsi="Times New Roman"/>
          <w:color w:val="000000"/>
          <w:szCs w:val="22"/>
          <w:lang w:eastAsia="en-US"/>
        </w:rPr>
      </w:pPr>
    </w:p>
    <w:p w:rsidR="006549D2" w:rsidRPr="00CA5538" w:rsidP="007E1BCD" w14:paraId="0C5F0436" w14:textId="77777777">
      <w:pPr>
        <w:spacing w:after="0" w:line="276" w:lineRule="auto"/>
        <w:ind w:left="1304"/>
        <w:jc w:val="left"/>
        <w:rPr>
          <w:rFonts w:ascii="Times New Roman" w:hAnsi="Times New Roman"/>
          <w:color w:val="000000"/>
          <w:szCs w:val="22"/>
          <w:lang w:eastAsia="en-US"/>
        </w:rPr>
      </w:pPr>
    </w:p>
    <w:p w:rsidR="007E1BCD" w:rsidRPr="00CA5538" w:rsidP="007E1BCD" w14:paraId="04F9EF22" w14:textId="1CE1BC1E">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10§</w:t>
        <w:tab/>
        <w:t>Revisorer</w:t>
      </w:r>
    </w:p>
    <w:p w:rsidR="007E1BCD" w:rsidRPr="00CA5538" w:rsidP="007E1BCD" w14:paraId="0357A593" w14:textId="77777777">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För granskning av bolagets årsredovisning samt styrelsens och verkställande direktörens förvaltning ska 1-2 revisorer, med eller utan högst 2 revisorssuppleanter, utses.</w:t>
      </w:r>
    </w:p>
    <w:p w:rsidR="007E1BCD" w:rsidRPr="00CA5538" w:rsidP="007E1BCD" w14:paraId="5477B10C" w14:textId="77777777">
      <w:pPr>
        <w:spacing w:after="0" w:line="276" w:lineRule="auto"/>
        <w:ind w:left="1304"/>
        <w:jc w:val="left"/>
        <w:rPr>
          <w:rFonts w:ascii="Times New Roman" w:hAnsi="Times New Roman"/>
          <w:color w:val="000000"/>
          <w:szCs w:val="22"/>
          <w:lang w:eastAsia="en-US"/>
        </w:rPr>
      </w:pPr>
    </w:p>
    <w:p w:rsidR="007E1BCD" w:rsidRPr="00CA5538" w:rsidP="007E1BCD" w14:paraId="0ECFFF7D" w14:textId="4EF15A54">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11§</w:t>
        <w:tab/>
        <w:t>Kallelse till bolagsstämma</w:t>
      </w:r>
    </w:p>
    <w:p w:rsidR="007E1BCD" w:rsidRPr="00CA5538" w:rsidP="007E1BCD" w14:paraId="5C8927FD" w14:textId="77777777">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Kallelse till bolagsstämma ska ske genom annonsering i Post- och Inrikes Tidningar samt på bolagets webbplats. Vid tidpunkten för kallelse ska information om att kallelse skett annonseras i Svenska Dagbladet.</w:t>
      </w:r>
    </w:p>
    <w:p w:rsidR="007E1BCD" w:rsidRPr="00CA5538" w:rsidP="007E1BCD" w14:paraId="14CFFCFD" w14:textId="77777777">
      <w:pPr>
        <w:spacing w:after="0" w:line="276" w:lineRule="auto"/>
        <w:ind w:left="1304"/>
        <w:jc w:val="left"/>
        <w:rPr>
          <w:rFonts w:ascii="Times New Roman" w:hAnsi="Times New Roman"/>
          <w:color w:val="000000"/>
          <w:szCs w:val="22"/>
          <w:lang w:eastAsia="en-US"/>
        </w:rPr>
      </w:pPr>
    </w:p>
    <w:p w:rsidR="007E1BCD" w:rsidRPr="00CA5538" w:rsidP="007E1BCD" w14:paraId="0A2934DB" w14:textId="4CF77335">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12§</w:t>
        <w:tab/>
        <w:t>Öppnande av stämma</w:t>
      </w:r>
    </w:p>
    <w:p w:rsidR="007E1BCD" w:rsidRPr="00CA5538" w:rsidP="007E1BCD" w14:paraId="69DD58D9" w14:textId="77777777">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Styrelsens ordförande eller den styrelsen därtill utser öppnar bolagsstämman och leder förhandlingarna till dess ordförande vid stämman valts.</w:t>
      </w:r>
    </w:p>
    <w:p w:rsidR="007E1BCD" w:rsidRPr="00CA5538" w:rsidP="007E1BCD" w14:paraId="6BA66BE0" w14:textId="65A3FBE5">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13§</w:t>
        <w:tab/>
        <w:t>Bolagsstämma</w:t>
      </w:r>
    </w:p>
    <w:p w:rsidR="007E1BCD" w:rsidRPr="00CA5538" w:rsidP="007E1BCD" w14:paraId="6A85518E" w14:textId="77777777">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Årsstämma hålles årligen inom 6 månader efter räkenskapsårets utgång.</w:t>
      </w:r>
    </w:p>
    <w:p w:rsidR="007E1BCD" w:rsidRPr="00CA5538" w:rsidP="007E1BCD" w14:paraId="1796A50E" w14:textId="77777777">
      <w:pPr>
        <w:spacing w:after="0" w:line="276" w:lineRule="auto"/>
        <w:ind w:firstLine="1304"/>
        <w:jc w:val="left"/>
        <w:rPr>
          <w:rFonts w:ascii="Times New Roman" w:hAnsi="Times New Roman"/>
          <w:color w:val="000000"/>
          <w:szCs w:val="22"/>
          <w:lang w:eastAsia="en-US"/>
        </w:rPr>
      </w:pPr>
    </w:p>
    <w:p w:rsidR="007E1BCD" w:rsidRPr="00CA5538" w:rsidP="007E1BCD" w14:paraId="0946D637" w14:textId="77777777">
      <w:pPr>
        <w:spacing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På årsstämman ska följande ärenden behandlas.</w:t>
      </w:r>
    </w:p>
    <w:p w:rsidR="007E1BCD" w:rsidRPr="00CA5538" w:rsidP="007E1BCD" w14:paraId="7D94C46F"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Val av ordförande vid stämman.</w:t>
      </w:r>
    </w:p>
    <w:p w:rsidR="007E1BCD" w:rsidRPr="00CA5538" w:rsidP="007E1BCD" w14:paraId="4F40C8F7"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Upprättande och godkännande av röstlängd.</w:t>
      </w:r>
    </w:p>
    <w:p w:rsidR="007E1BCD" w:rsidRPr="00CA5538" w:rsidP="007E1BCD" w14:paraId="036A8247"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Val av en eller två justeringsmän.</w:t>
      </w:r>
    </w:p>
    <w:p w:rsidR="007E1BCD" w:rsidRPr="00CA5538" w:rsidP="007E1BCD" w14:paraId="28148967"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Prövning av om stämman har blivit behörigen sammankallad. </w:t>
      </w:r>
    </w:p>
    <w:p w:rsidR="007E1BCD" w:rsidRPr="00CA5538" w:rsidP="007E1BCD" w14:paraId="36E80351"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Godkännande av förslag till dagordning.</w:t>
      </w:r>
    </w:p>
    <w:p w:rsidR="007E1BCD" w:rsidRPr="00CA5538" w:rsidP="007E1BCD" w14:paraId="7DD41E87" w14:textId="36CF4A51">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Föredragning av framlagd årsredovisning och revisionsberättelse, koncernredovisning och koncernrevisionsberättelse samt granskningsberättelsen över hållbarhetsrapporten för koncernen.</w:t>
      </w:r>
    </w:p>
    <w:p w:rsidR="007E1BCD" w:rsidRPr="00CA5538" w:rsidP="007E1BCD" w14:paraId="4DA414A8"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Beslut angående </w:t>
      </w:r>
    </w:p>
    <w:p w:rsidR="007E1BCD" w:rsidRPr="00CA5538" w:rsidP="007E1BCD" w14:paraId="2AB9555D" w14:textId="4962E628">
      <w:pPr>
        <w:numPr>
          <w:ilvl w:val="0"/>
          <w:numId w:val="2"/>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Fastställande av resultaträkning och balansräkning samt koncernresultaträkning och koncernbalansräkning.</w:t>
      </w:r>
    </w:p>
    <w:p w:rsidR="007E1BCD" w:rsidRPr="00CA5538" w:rsidP="007E1BCD" w14:paraId="230C8C94" w14:textId="77777777">
      <w:pPr>
        <w:numPr>
          <w:ilvl w:val="0"/>
          <w:numId w:val="2"/>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Dispositioner beträffande bolagets vinst eller förlust enligt den fastställda balansräkningen samt, i förekommande fall, den fastställda koncernbalansräkningen.</w:t>
      </w:r>
    </w:p>
    <w:p w:rsidR="007E1BCD" w:rsidRPr="00CA5538" w:rsidP="007E1BCD" w14:paraId="3379E1A8" w14:textId="77777777">
      <w:pPr>
        <w:numPr>
          <w:ilvl w:val="0"/>
          <w:numId w:val="2"/>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Ansvarsfrihet av styrelsens ledamöter och verkställande direktören, när sådan förekommer.</w:t>
      </w:r>
    </w:p>
    <w:p w:rsidR="007E1BCD" w:rsidRPr="00CA5538" w:rsidP="007E1BCD" w14:paraId="65D2C657"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Fastställande av arvoden åt styrelse och revisor.</w:t>
      </w:r>
    </w:p>
    <w:p w:rsidR="007E1BCD" w:rsidRPr="00CA5538" w:rsidP="007E1BCD" w14:paraId="620FEF6A"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Val av styrelse och eventuella styrelsesuppleanter samt revisorer och eventuella revisorssuppleanter.</w:t>
      </w:r>
    </w:p>
    <w:p w:rsidR="007E1BCD" w:rsidRPr="00CA5538" w:rsidP="007E1BCD" w14:paraId="1860A05C" w14:textId="77777777">
      <w:pPr>
        <w:numPr>
          <w:ilvl w:val="0"/>
          <w:numId w:val="1"/>
        </w:numPr>
        <w:spacing w:after="0" w:line="276" w:lineRule="auto"/>
        <w:contextualSpacing/>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Annat ärende, som ska tas upp på stämman enligt aktiebolagslagen (2005:551) eller bolagsordningen. </w:t>
      </w:r>
    </w:p>
    <w:p w:rsidR="007E1BCD" w:rsidRPr="00CA5538" w:rsidP="007E1BCD" w14:paraId="4DF49DA5" w14:textId="77777777">
      <w:pPr>
        <w:spacing w:after="0" w:line="276" w:lineRule="auto"/>
        <w:jc w:val="left"/>
        <w:rPr>
          <w:rFonts w:ascii="Times New Roman" w:hAnsi="Times New Roman"/>
          <w:b/>
          <w:color w:val="000000"/>
          <w:szCs w:val="22"/>
          <w:lang w:eastAsia="en-US"/>
        </w:rPr>
      </w:pPr>
    </w:p>
    <w:p w:rsidR="007E1BCD" w:rsidRPr="00CA5538" w:rsidP="007E1BCD" w14:paraId="3C50B3EF" w14:textId="6259BB5E">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14§</w:t>
        <w:tab/>
        <w:t>Räkenskapsår</w:t>
      </w:r>
    </w:p>
    <w:p w:rsidR="007E1BCD" w:rsidRPr="00CA5538" w:rsidP="007E1BCD" w14:paraId="7F13AE5D" w14:textId="0B9913A0">
      <w:pPr>
        <w:spacing w:after="0" w:line="276" w:lineRule="auto"/>
        <w:ind w:firstLine="1304"/>
        <w:jc w:val="left"/>
        <w:rPr>
          <w:rFonts w:ascii="Times New Roman" w:hAnsi="Times New Roman"/>
          <w:color w:val="000000"/>
          <w:szCs w:val="22"/>
          <w:lang w:eastAsia="en-US"/>
        </w:rPr>
      </w:pPr>
      <w:r w:rsidRPr="00CA5538">
        <w:rPr>
          <w:rFonts w:ascii="Times New Roman" w:hAnsi="Times New Roman"/>
          <w:color w:val="000000"/>
          <w:szCs w:val="22"/>
          <w:lang w:eastAsia="en-US"/>
        </w:rPr>
        <w:t>Bolagets räkenskapsår ska omfatta perioden 1/1 — 31/12.</w:t>
      </w:r>
    </w:p>
    <w:p w:rsidR="007E1BCD" w:rsidRPr="00CA5538" w:rsidP="007E1BCD" w14:paraId="31151E1F" w14:textId="77777777">
      <w:pPr>
        <w:spacing w:after="0" w:line="276" w:lineRule="auto"/>
        <w:ind w:firstLine="1304"/>
        <w:jc w:val="left"/>
        <w:rPr>
          <w:rFonts w:ascii="Times New Roman" w:hAnsi="Times New Roman"/>
          <w:color w:val="000000"/>
          <w:szCs w:val="22"/>
          <w:lang w:eastAsia="en-US"/>
        </w:rPr>
      </w:pPr>
    </w:p>
    <w:p w:rsidR="007E1BCD" w:rsidRPr="00CA5538" w:rsidP="007E1BCD" w14:paraId="12315A50" w14:textId="0A256B6D">
      <w:pPr>
        <w:spacing w:after="0" w:line="276" w:lineRule="auto"/>
        <w:jc w:val="left"/>
        <w:rPr>
          <w:rFonts w:ascii="Times New Roman" w:hAnsi="Times New Roman"/>
          <w:b/>
          <w:color w:val="000000"/>
          <w:szCs w:val="22"/>
          <w:lang w:eastAsia="en-US"/>
        </w:rPr>
      </w:pPr>
      <w:r w:rsidRPr="00CA5538">
        <w:rPr>
          <w:rFonts w:ascii="Times New Roman" w:hAnsi="Times New Roman"/>
          <w:b/>
          <w:color w:val="000000"/>
          <w:szCs w:val="22"/>
          <w:lang w:eastAsia="en-US"/>
        </w:rPr>
        <w:t>15§</w:t>
        <w:tab/>
        <w:t>Deltagande på bolagsstämma</w:t>
      </w:r>
    </w:p>
    <w:p w:rsidR="007E1BCD" w:rsidRPr="00CA5538" w:rsidP="007E1BCD" w14:paraId="0A627ABE" w14:textId="77777777">
      <w:pPr>
        <w:spacing w:after="0" w:line="276" w:lineRule="auto"/>
        <w:ind w:left="1304"/>
        <w:jc w:val="left"/>
        <w:rPr>
          <w:rFonts w:ascii="Times New Roman" w:hAnsi="Times New Roman"/>
          <w:color w:val="000000"/>
          <w:szCs w:val="22"/>
          <w:lang w:eastAsia="en-US"/>
        </w:rPr>
      </w:pPr>
      <w:r w:rsidRPr="00CA5538">
        <w:rPr>
          <w:rFonts w:ascii="Times New Roman" w:hAnsi="Times New Roman"/>
          <w:color w:val="000000"/>
          <w:szCs w:val="22"/>
          <w:lang w:eastAsia="en-US"/>
        </w:rPr>
        <w:t xml:space="preserve">För att få deltaga på bolagsstämma ska aktieägare anmäla sig samt antalet biträden hos bolaget senast den dag, som anges i kallelsen till stämman. Denna dag får ej vara söndag, annan allmän helgdag, lördag, midsommarafton, julafton eller nyårsafton och inte infalla tidigare än femte vardagen före stämman. </w:t>
      </w:r>
    </w:p>
    <w:p w:rsidR="007E1BCD" w:rsidRPr="00CA5538" w:rsidP="007E1BCD" w14:paraId="7F0B9007" w14:textId="77777777">
      <w:pPr>
        <w:spacing w:after="0" w:line="276" w:lineRule="auto"/>
        <w:ind w:left="1304"/>
        <w:jc w:val="left"/>
        <w:rPr>
          <w:rFonts w:ascii="Times New Roman" w:hAnsi="Times New Roman"/>
          <w:color w:val="000000"/>
          <w:szCs w:val="22"/>
          <w:lang w:eastAsia="en-US"/>
        </w:rPr>
      </w:pPr>
    </w:p>
    <w:p w:rsidR="00880394" w:rsidP="007E1BCD" w14:paraId="79A167E8" w14:textId="08E508D7">
      <w:pPr>
        <w:spacing w:after="0" w:line="276" w:lineRule="auto"/>
        <w:ind w:left="1304"/>
        <w:jc w:val="left"/>
        <w:rPr>
          <w:rFonts w:ascii="Times New Roman" w:hAnsi="Times New Roman"/>
          <w:color w:val="000000"/>
          <w:szCs w:val="22"/>
          <w:lang w:eastAsia="en-US"/>
        </w:rPr>
      </w:pPr>
      <w:r>
        <w:rPr>
          <w:rFonts w:ascii="Times New Roman" w:hAnsi="Times New Roman"/>
          <w:color w:val="000000"/>
          <w:szCs w:val="22"/>
          <w:lang w:eastAsia="en-US"/>
        </w:rPr>
        <w:t>Aktieägare får vid stämman medföra ett eller två biträden, dock endast om aktieägaren gjort anmälan härom enligt föregående stycke.</w:t>
      </w:r>
    </w:p>
    <w:p w:rsidR="007E1BCD" w:rsidP="00880394" w14:paraId="035C5993" w14:textId="33DF0587">
      <w:pPr>
        <w:spacing w:after="160" w:line="259" w:lineRule="auto"/>
        <w:jc w:val="left"/>
        <w:rPr>
          <w:rFonts w:ascii="Times New Roman" w:hAnsi="Times New Roman"/>
          <w:color w:val="000000"/>
          <w:szCs w:val="22"/>
          <w:lang w:eastAsia="en-US"/>
        </w:rPr>
      </w:pPr>
      <w:r>
        <w:rPr>
          <w:rFonts w:ascii="Times New Roman" w:hAnsi="Times New Roman"/>
          <w:color w:val="000000"/>
          <w:szCs w:val="22"/>
          <w:lang w:eastAsia="en-US"/>
        </w:rPr>
        <w:br w:type="page"/>
      </w:r>
    </w:p>
    <w:p w:rsidR="007E1BCD" w:rsidP="007E1BCD" w14:paraId="401C29CA" w14:textId="77777777">
      <w:pPr>
        <w:spacing w:after="0" w:line="240" w:lineRule="auto"/>
        <w:rPr>
          <w:rFonts w:ascii="Times New Roman" w:hAnsi="Times New Roman"/>
          <w:szCs w:val="22"/>
          <w:lang w:eastAsia="en-US" w:bidi="sv-SE"/>
        </w:rPr>
      </w:pPr>
    </w:p>
    <w:p w:rsidR="007E1BCD" w:rsidP="007E1BCD" w14:paraId="137C03A0" w14:textId="5D3D05F1">
      <w:pPr>
        <w:spacing w:after="0" w:line="240" w:lineRule="auto"/>
        <w:jc w:val="left"/>
      </w:pPr>
    </w:p>
    <w:p w:rsidR="007E1BCD" w:rsidP="007E1BCD" w14:paraId="17A3D16B" w14:textId="77777777">
      <w:pPr>
        <w:spacing w:before="240" w:after="0" w:line="240" w:lineRule="auto"/>
        <w:jc w:val="center"/>
        <w:rPr>
          <w:rFonts w:ascii="Times New Roman" w:hAnsi="Times New Roman"/>
          <w:b/>
          <w:szCs w:val="22"/>
          <w:lang w:val="en-GB" w:eastAsia="en-US"/>
        </w:rPr>
      </w:pPr>
      <w:r>
        <w:rPr>
          <w:rFonts w:ascii="Times New Roman" w:hAnsi="Times New Roman"/>
          <w:b/>
          <w:szCs w:val="22"/>
          <w:lang w:val="en-GB" w:eastAsia="en-US"/>
        </w:rPr>
        <w:t>ARTICLES OF ASSOCIATION</w:t>
      </w:r>
    </w:p>
    <w:p w:rsidR="007E1BCD" w:rsidP="007E1BCD" w14:paraId="02A5A382" w14:textId="77777777">
      <w:pPr>
        <w:spacing w:before="240" w:after="0" w:line="240" w:lineRule="auto"/>
        <w:jc w:val="center"/>
        <w:rPr>
          <w:rFonts w:ascii="Times New Roman" w:hAnsi="Times New Roman"/>
          <w:b/>
          <w:szCs w:val="22"/>
          <w:lang w:val="en-GB" w:eastAsia="en-US"/>
        </w:rPr>
      </w:pPr>
      <w:r>
        <w:rPr>
          <w:rFonts w:ascii="Times New Roman" w:hAnsi="Times New Roman"/>
          <w:b/>
          <w:szCs w:val="22"/>
          <w:lang w:val="en-GB" w:eastAsia="en-US"/>
        </w:rPr>
        <w:t>of</w:t>
      </w:r>
    </w:p>
    <w:p w:rsidR="007E1BCD" w:rsidP="007E1BCD" w14:paraId="277E5718" w14:textId="77777777">
      <w:pPr>
        <w:spacing w:before="240" w:after="0" w:line="240" w:lineRule="auto"/>
        <w:jc w:val="center"/>
        <w:rPr>
          <w:rFonts w:ascii="Times New Roman" w:hAnsi="Times New Roman"/>
          <w:b/>
          <w:szCs w:val="22"/>
          <w:lang w:val="en-GB" w:eastAsia="en-US"/>
        </w:rPr>
      </w:pPr>
      <w:r>
        <w:rPr>
          <w:rFonts w:ascii="Times New Roman" w:hAnsi="Times New Roman"/>
          <w:b/>
          <w:szCs w:val="22"/>
          <w:lang w:val="en-GB" w:eastAsia="en-US"/>
        </w:rPr>
        <w:t xml:space="preserve">Haypp Group AB (publ) </w:t>
      </w:r>
    </w:p>
    <w:p w:rsidR="007E1BCD" w:rsidP="007E1BCD" w14:paraId="34DFF549" w14:textId="77777777">
      <w:pPr>
        <w:spacing w:before="240" w:after="0" w:line="240" w:lineRule="auto"/>
        <w:jc w:val="center"/>
        <w:rPr>
          <w:rFonts w:ascii="Times New Roman" w:hAnsi="Times New Roman"/>
          <w:b/>
          <w:szCs w:val="22"/>
          <w:lang w:val="en-GB" w:eastAsia="en-US"/>
        </w:rPr>
      </w:pPr>
      <w:r>
        <w:rPr>
          <w:rFonts w:ascii="Times New Roman" w:hAnsi="Times New Roman"/>
          <w:b/>
          <w:szCs w:val="22"/>
          <w:lang w:val="en-GB" w:eastAsia="en-US"/>
        </w:rPr>
        <w:t>(Reg. No. 559075-6796)</w:t>
      </w:r>
    </w:p>
    <w:p w:rsidR="00A91F48" w:rsidRPr="00A91F48" w:rsidP="007E1BCD" w14:paraId="17AEA159" w14:textId="5C0C66A5">
      <w:pPr>
        <w:spacing w:before="240" w:after="0" w:line="240" w:lineRule="auto"/>
        <w:jc w:val="center"/>
        <w:rPr>
          <w:rFonts w:ascii="Times New Roman" w:hAnsi="Times New Roman"/>
          <w:bCs/>
          <w:szCs w:val="22"/>
          <w:lang w:val="en-GB" w:eastAsia="en-US"/>
        </w:rPr>
      </w:pPr>
    </w:p>
    <w:p w:rsidR="007E1BCD" w:rsidP="007E1BCD" w14:paraId="5BDDB221" w14:textId="77777777">
      <w:pPr>
        <w:spacing w:after="0" w:line="240" w:lineRule="auto"/>
        <w:rPr>
          <w:rFonts w:ascii="Times New Roman" w:hAnsi="Times New Roman"/>
          <w:b/>
          <w:szCs w:val="22"/>
          <w:lang w:val="en-GB" w:eastAsia="en-US"/>
        </w:rPr>
      </w:pPr>
      <w:r>
        <w:rPr>
          <w:rFonts w:ascii="Times New Roman" w:hAnsi="Times New Roman"/>
          <w:b/>
          <w:szCs w:val="22"/>
          <w:lang w:val="en-GB" w:eastAsia="en-US"/>
        </w:rPr>
        <w:t>1§</w:t>
        <w:tab/>
        <w:t>Name of the company</w:t>
      </w:r>
    </w:p>
    <w:p w:rsidR="007E1BCD" w:rsidP="007E1BCD" w14:paraId="63078423"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The company’s name is Haypp Group AB (publ). The company is a public limited liability company.</w:t>
      </w:r>
    </w:p>
    <w:p w:rsidR="007E1BCD" w:rsidP="007E1BCD" w14:paraId="32651EFD" w14:textId="77777777">
      <w:pPr>
        <w:spacing w:after="0" w:line="276" w:lineRule="auto"/>
        <w:ind w:firstLine="1304"/>
        <w:rPr>
          <w:rFonts w:ascii="Times New Roman" w:hAnsi="Times New Roman"/>
          <w:szCs w:val="22"/>
          <w:lang w:val="en-GB" w:eastAsia="en-US"/>
        </w:rPr>
      </w:pPr>
    </w:p>
    <w:p w:rsidR="007E1BCD" w:rsidP="007E1BCD" w14:paraId="6C629571" w14:textId="77777777">
      <w:pPr>
        <w:spacing w:after="0" w:line="240" w:lineRule="auto"/>
        <w:rPr>
          <w:rFonts w:ascii="Times New Roman" w:hAnsi="Times New Roman"/>
          <w:b/>
          <w:szCs w:val="22"/>
          <w:lang w:val="en-GB" w:eastAsia="en-US"/>
        </w:rPr>
      </w:pPr>
      <w:r>
        <w:rPr>
          <w:rFonts w:ascii="Times New Roman" w:hAnsi="Times New Roman"/>
          <w:b/>
          <w:szCs w:val="22"/>
          <w:lang w:val="en-GB" w:eastAsia="en-US"/>
        </w:rPr>
        <w:t>2§</w:t>
        <w:tab/>
        <w:t>Registered office</w:t>
      </w:r>
    </w:p>
    <w:p w:rsidR="007E1BCD" w:rsidP="007E1BCD" w14:paraId="1D0BFF79" w14:textId="77777777">
      <w:pPr>
        <w:spacing w:after="0" w:line="276" w:lineRule="auto"/>
        <w:ind w:firstLine="1304"/>
        <w:rPr>
          <w:rFonts w:ascii="Times New Roman" w:hAnsi="Times New Roman"/>
          <w:szCs w:val="22"/>
          <w:lang w:val="en-GB" w:eastAsia="en-US"/>
        </w:rPr>
      </w:pPr>
      <w:r>
        <w:rPr>
          <w:rFonts w:ascii="Times New Roman" w:hAnsi="Times New Roman"/>
          <w:szCs w:val="22"/>
          <w:lang w:val="en-GB" w:eastAsia="en-US"/>
        </w:rPr>
        <w:t>The company’s registered office shall be situated in Stockholm, Sweden.</w:t>
      </w:r>
    </w:p>
    <w:p w:rsidR="007E1BCD" w:rsidP="007E1BCD" w14:paraId="70547C54" w14:textId="77777777">
      <w:pPr>
        <w:spacing w:after="0" w:line="276" w:lineRule="auto"/>
        <w:ind w:firstLine="1304"/>
        <w:rPr>
          <w:rFonts w:ascii="Times New Roman" w:hAnsi="Times New Roman"/>
          <w:szCs w:val="22"/>
          <w:lang w:val="en-GB" w:eastAsia="en-US"/>
        </w:rPr>
      </w:pPr>
    </w:p>
    <w:p w:rsidR="007E1BCD" w:rsidP="007E1BCD" w14:paraId="74328545" w14:textId="77777777">
      <w:pPr>
        <w:spacing w:after="0" w:line="240" w:lineRule="auto"/>
        <w:rPr>
          <w:rFonts w:ascii="Times New Roman" w:hAnsi="Times New Roman"/>
          <w:b/>
          <w:szCs w:val="22"/>
          <w:lang w:val="en-GB" w:eastAsia="en-US"/>
        </w:rPr>
      </w:pPr>
      <w:r>
        <w:rPr>
          <w:rFonts w:ascii="Times New Roman" w:hAnsi="Times New Roman"/>
          <w:b/>
          <w:szCs w:val="22"/>
          <w:lang w:val="en-GB" w:eastAsia="en-US"/>
        </w:rPr>
        <w:t>3§</w:t>
        <w:tab/>
        <w:t>Object of the company’s business</w:t>
      </w:r>
    </w:p>
    <w:p w:rsidR="007E1BCD" w:rsidP="007E1BCD" w14:paraId="512F917D" w14:textId="5C6F2BB5">
      <w:pPr>
        <w:spacing w:after="0" w:line="276" w:lineRule="auto"/>
        <w:ind w:left="1304"/>
        <w:rPr>
          <w:rFonts w:ascii="Times New Roman" w:hAnsi="Times New Roman"/>
          <w:szCs w:val="22"/>
          <w:lang w:val="en-GB" w:eastAsia="en-US"/>
        </w:rPr>
      </w:pPr>
      <w:r>
        <w:rPr>
          <w:rFonts w:ascii="Times New Roman" w:hAnsi="Times New Roman"/>
          <w:szCs w:val="22"/>
          <w:lang w:val="en-GB" w:eastAsia="en-US"/>
        </w:rPr>
        <w:t xml:space="preserve">The company shall invest in e-commerce companies and conduct any other activities compatible therewith. </w:t>
      </w:r>
    </w:p>
    <w:p w:rsidR="007E1BCD" w:rsidP="007E1BCD" w14:paraId="28ED5821" w14:textId="77777777">
      <w:pPr>
        <w:spacing w:after="0" w:line="276" w:lineRule="auto"/>
        <w:ind w:left="1304"/>
        <w:rPr>
          <w:rFonts w:ascii="Times New Roman" w:hAnsi="Times New Roman"/>
          <w:szCs w:val="22"/>
          <w:lang w:val="en-GB" w:eastAsia="en-US"/>
        </w:rPr>
      </w:pPr>
    </w:p>
    <w:p w:rsidR="007E1BCD" w:rsidP="007E1BCD" w14:paraId="345ABD29" w14:textId="77777777">
      <w:pPr>
        <w:spacing w:after="0" w:line="240" w:lineRule="auto"/>
        <w:rPr>
          <w:rFonts w:ascii="Times New Roman" w:hAnsi="Times New Roman"/>
          <w:b/>
          <w:szCs w:val="22"/>
          <w:lang w:val="en-GB" w:eastAsia="en-US"/>
        </w:rPr>
      </w:pPr>
      <w:r>
        <w:rPr>
          <w:rFonts w:ascii="Times New Roman" w:hAnsi="Times New Roman"/>
          <w:b/>
          <w:szCs w:val="22"/>
          <w:lang w:val="en-GB" w:eastAsia="en-US"/>
        </w:rPr>
        <w:t>4§</w:t>
        <w:tab/>
        <w:t>Share capital</w:t>
      </w:r>
    </w:p>
    <w:p w:rsidR="007E1BCD" w:rsidP="007E1BCD" w14:paraId="18179933" w14:textId="77777777">
      <w:pPr>
        <w:spacing w:after="0" w:line="240" w:lineRule="auto"/>
        <w:ind w:left="1304"/>
        <w:rPr>
          <w:rFonts w:ascii="Times New Roman" w:hAnsi="Times New Roman"/>
          <w:szCs w:val="22"/>
          <w:lang w:val="en-GB" w:eastAsia="en-US"/>
        </w:rPr>
      </w:pPr>
      <w:r>
        <w:rPr>
          <w:rFonts w:ascii="Times New Roman" w:hAnsi="Times New Roman"/>
          <w:szCs w:val="22"/>
          <w:lang w:val="en-GB" w:eastAsia="en-US"/>
        </w:rPr>
        <w:t>The share capital shall be not less than SEK 1,000,000 and not more than SEK 4,000,000.</w:t>
      </w:r>
    </w:p>
    <w:p w:rsidR="007E1BCD" w:rsidP="007E1BCD" w14:paraId="5C5D020E" w14:textId="77777777">
      <w:pPr>
        <w:spacing w:after="0" w:line="240" w:lineRule="auto"/>
        <w:ind w:firstLine="1304"/>
        <w:rPr>
          <w:rFonts w:ascii="Times New Roman" w:hAnsi="Times New Roman"/>
          <w:szCs w:val="22"/>
          <w:lang w:val="en-GB" w:eastAsia="en-US"/>
        </w:rPr>
      </w:pPr>
    </w:p>
    <w:p w:rsidR="007E1BCD" w:rsidP="007E1BCD" w14:paraId="7724CCB1" w14:textId="77777777">
      <w:pPr>
        <w:spacing w:after="0" w:line="240" w:lineRule="auto"/>
        <w:rPr>
          <w:rFonts w:ascii="Times New Roman" w:hAnsi="Times New Roman"/>
          <w:b/>
          <w:szCs w:val="22"/>
          <w:lang w:val="en-GB" w:eastAsia="en-US"/>
        </w:rPr>
      </w:pPr>
      <w:r>
        <w:rPr>
          <w:rFonts w:ascii="Times New Roman" w:hAnsi="Times New Roman"/>
          <w:b/>
          <w:szCs w:val="22"/>
          <w:lang w:val="en-GB" w:eastAsia="en-US"/>
        </w:rPr>
        <w:t>5§</w:t>
        <w:tab/>
        <w:t>Number of shares</w:t>
      </w:r>
    </w:p>
    <w:p w:rsidR="007E1BCD" w:rsidP="007E1BCD" w14:paraId="59CD9AEF"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The number of shares shall be not less than 15,000,000 and not more than 60,000,000.</w:t>
      </w:r>
    </w:p>
    <w:p w:rsidR="003C5618" w:rsidP="003C5618" w14:paraId="7300F8C8" w14:textId="77777777">
      <w:pPr>
        <w:spacing w:after="0" w:line="276" w:lineRule="auto"/>
        <w:ind w:left="1304"/>
        <w:rPr>
          <w:rFonts w:ascii="Times New Roman" w:hAnsi="Times New Roman"/>
          <w:szCs w:val="22"/>
          <w:lang w:val="en-GB" w:eastAsia="en-US"/>
        </w:rPr>
      </w:pPr>
    </w:p>
    <w:p w:rsidR="003C5618" w:rsidP="003C5618" w14:paraId="075509D2" w14:textId="3BB55CC2">
      <w:pPr>
        <w:spacing w:after="0" w:line="240" w:lineRule="auto"/>
        <w:rPr>
          <w:rFonts w:ascii="Times New Roman" w:hAnsi="Times New Roman"/>
          <w:b/>
          <w:szCs w:val="22"/>
          <w:lang w:val="en-GB" w:eastAsia="en-US"/>
        </w:rPr>
      </w:pPr>
      <w:r w:rsidR="009B2FD4">
        <w:rPr>
          <w:rFonts w:ascii="Times New Roman" w:hAnsi="Times New Roman"/>
          <w:b/>
          <w:szCs w:val="22"/>
          <w:lang w:val="en-GB" w:eastAsia="en-US"/>
        </w:rPr>
        <w:t>6§</w:t>
        <w:tab/>
        <w:t>Share classes</w:t>
      </w:r>
    </w:p>
    <w:p w:rsidR="009B2FD4" w:rsidRPr="009B2FD4" w:rsidP="009B2FD4" w14:paraId="0422973E" w14:textId="2BE22935">
      <w:pPr>
        <w:spacing w:after="0" w:line="276" w:lineRule="auto"/>
        <w:ind w:left="1304"/>
        <w:rPr>
          <w:rFonts w:ascii="Times New Roman" w:hAnsi="Times New Roman"/>
          <w:szCs w:val="22"/>
          <w:lang w:val="en-GB" w:eastAsia="en-US"/>
        </w:rPr>
      </w:pPr>
      <w:r w:rsidRPr="001B1DED">
        <w:rPr>
          <w:rFonts w:ascii="Times New Roman" w:hAnsi="Times New Roman"/>
          <w:szCs w:val="22"/>
          <w:lang w:val="en-GB" w:eastAsia="en-US"/>
        </w:rPr>
        <w:t>Shares of three classes may be issued: ordinary shares carrying one (1) vote per share, Class C1 shares carrying one-tenth (0.10) vote per share and C2 shares carrying one-tenth (0.10) vote per share. Ordinary shares may be issued up to an amount corresponding to the entire share capital. Class C1 shares and Class C2 shares may be issued up to an amount corresponding to a total of 10 percent of the share capital.</w:t>
      </w:r>
    </w:p>
    <w:p w:rsidR="009B2FD4" w:rsidRPr="009B2FD4" w:rsidP="009B2FD4" w14:paraId="3E10D3FB" w14:textId="77777777">
      <w:pPr>
        <w:spacing w:after="0" w:line="276" w:lineRule="auto"/>
        <w:ind w:left="1304"/>
        <w:rPr>
          <w:rFonts w:ascii="Times New Roman" w:hAnsi="Times New Roman"/>
          <w:szCs w:val="22"/>
          <w:lang w:val="en-GB" w:eastAsia="en-US"/>
        </w:rPr>
      </w:pPr>
    </w:p>
    <w:p w:rsidR="009B2FD4" w:rsidRPr="009B2FD4" w:rsidP="009B2FD4" w14:paraId="26A10F57" w14:textId="06A30EA5">
      <w:pPr>
        <w:spacing w:after="0" w:line="276" w:lineRule="auto"/>
        <w:ind w:left="1304"/>
        <w:rPr>
          <w:rFonts w:ascii="Times New Roman" w:hAnsi="Times New Roman"/>
          <w:szCs w:val="22"/>
          <w:lang w:val="en-GB" w:eastAsia="en-US"/>
        </w:rPr>
      </w:pPr>
      <w:r>
        <w:rPr>
          <w:rFonts w:ascii="Times New Roman" w:hAnsi="Times New Roman"/>
          <w:szCs w:val="22"/>
          <w:lang w:val="en-GB" w:eastAsia="en-US"/>
        </w:rPr>
        <w:t>Ordinary shares entitle to dividend. Class C1 shares and Class C2 shares do not entitle to dividend. In the event of the liquidation of the company, Class C1 shares and Class C2 shares are entitled to the same proportion of the company’s assets as the other shares, but only to an amount not exceeding the quota value of the share.</w:t>
      </w:r>
    </w:p>
    <w:p w:rsidR="009B2FD4" w:rsidRPr="009B2FD4" w:rsidP="009B2FD4" w14:paraId="0BD63734" w14:textId="77777777">
      <w:pPr>
        <w:spacing w:after="0" w:line="276" w:lineRule="auto"/>
        <w:ind w:left="1304"/>
        <w:rPr>
          <w:rFonts w:ascii="Times New Roman" w:hAnsi="Times New Roman"/>
          <w:szCs w:val="22"/>
          <w:lang w:val="en-GB" w:eastAsia="en-US"/>
        </w:rPr>
      </w:pPr>
    </w:p>
    <w:p w:rsidR="009B2FD4" w:rsidRPr="009B2FD4" w:rsidP="009B2FD4" w14:paraId="34107B04" w14:textId="248D3C25">
      <w:pPr>
        <w:spacing w:after="0" w:line="276" w:lineRule="auto"/>
        <w:ind w:left="1304"/>
        <w:rPr>
          <w:rFonts w:ascii="Times New Roman" w:hAnsi="Times New Roman"/>
          <w:szCs w:val="22"/>
          <w:lang w:val="en-GB" w:eastAsia="en-US"/>
        </w:rPr>
      </w:pPr>
      <w:r w:rsidRPr="009B2FD4">
        <w:rPr>
          <w:rFonts w:ascii="Times New Roman" w:hAnsi="Times New Roman"/>
          <w:szCs w:val="22"/>
          <w:lang w:val="en-GB" w:eastAsia="en-US"/>
        </w:rPr>
        <w:t>If the company resolves to issue new shares of several classes through a cash issue or an issue with payment by way of set-off, owners of each respective class of shares shall enjoy pre-emptive rights to subscribe for new shares of the same class pro rata to the number of shares previously held by them (primary pre-emptive right). Shares which are not subscribed for pursuant to the primary pre-emptive rights shall be offered to all shareholders for subscription (secondary pre-emptive right). If the shares thus offered are not sufficient for the subscription pursuant to the secondary pre-emptive rights, the shares shall be allocated between the subscribers pro rata to the number of shares previously held and, to the extent such allocation cannot be effected, by the drawing of lots.</w:t>
      </w:r>
    </w:p>
    <w:p w:rsidR="009B2FD4" w:rsidRPr="009B2FD4" w:rsidP="009B2FD4" w14:paraId="774C19F9" w14:textId="77777777">
      <w:pPr>
        <w:spacing w:after="0" w:line="276" w:lineRule="auto"/>
        <w:ind w:left="1304"/>
        <w:rPr>
          <w:rFonts w:ascii="Times New Roman" w:hAnsi="Times New Roman"/>
          <w:szCs w:val="22"/>
          <w:lang w:val="en-GB" w:eastAsia="en-US"/>
        </w:rPr>
      </w:pPr>
    </w:p>
    <w:p w:rsidR="009B2FD4" w:rsidRPr="009B2FD4" w:rsidP="009B2FD4" w14:paraId="3D8D5746" w14:textId="4BFA0DEE">
      <w:pPr>
        <w:spacing w:after="0" w:line="276" w:lineRule="auto"/>
        <w:ind w:left="1304"/>
        <w:rPr>
          <w:rFonts w:ascii="Times New Roman" w:hAnsi="Times New Roman"/>
          <w:szCs w:val="22"/>
          <w:lang w:val="en-GB" w:eastAsia="en-US"/>
        </w:rPr>
      </w:pPr>
      <w:r w:rsidRPr="009B2FD4">
        <w:rPr>
          <w:rFonts w:ascii="Times New Roman" w:hAnsi="Times New Roman"/>
          <w:szCs w:val="22"/>
          <w:lang w:val="en-GB" w:eastAsia="en-US"/>
        </w:rPr>
        <w:t>In the event that a new issue of shares, through a cash issue or an issue with payment by way of set-off, only encompasses one share class, all shareholders shall, irrespective of whether the class of their shares, have pre-emption rights to subscribe for new shares pro rata to the number of shares previously held by them.</w:t>
      </w:r>
    </w:p>
    <w:p w:rsidR="009B2FD4" w:rsidRPr="009B2FD4" w:rsidP="009B2FD4" w14:paraId="7259EEF8" w14:textId="77777777">
      <w:pPr>
        <w:spacing w:after="0" w:line="276" w:lineRule="auto"/>
        <w:ind w:left="1304"/>
        <w:rPr>
          <w:rFonts w:ascii="Times New Roman" w:hAnsi="Times New Roman"/>
          <w:szCs w:val="22"/>
          <w:lang w:val="en-GB" w:eastAsia="en-US"/>
        </w:rPr>
      </w:pPr>
    </w:p>
    <w:p w:rsidR="009B2FD4" w:rsidRPr="009B2FD4" w:rsidP="009B2FD4" w14:paraId="7F31986D" w14:textId="52F54BC3">
      <w:pPr>
        <w:spacing w:after="0" w:line="276" w:lineRule="auto"/>
        <w:ind w:left="1304"/>
        <w:rPr>
          <w:rFonts w:ascii="Times New Roman" w:hAnsi="Times New Roman"/>
          <w:szCs w:val="22"/>
          <w:lang w:val="en-GB" w:eastAsia="en-US"/>
        </w:rPr>
      </w:pPr>
      <w:r w:rsidRPr="009B2FD4">
        <w:rPr>
          <w:rFonts w:ascii="Times New Roman" w:hAnsi="Times New Roman"/>
          <w:szCs w:val="22"/>
          <w:lang w:val="en-GB" w:eastAsia="en-US"/>
        </w:rPr>
        <w:t>If the company resolves to issues warrants or convertible debentures through a cash issue or an issue with payment by way of set-off, all shareholders shall have pre-emptive rights to subscribe for warrants as if the issue applied to shares that may be subscribed for due to the right of option and pre-emptive rights to subscribe for convertibles as if the issue applied to the shares that the convertibles may be converted to. The above shall not limit the right to resolve upon an issue with a deviation from the shareholders’ pre-emptive rights.</w:t>
      </w:r>
    </w:p>
    <w:p w:rsidR="009B2FD4" w:rsidRPr="009B2FD4" w:rsidP="009B2FD4" w14:paraId="2CB18303" w14:textId="77777777">
      <w:pPr>
        <w:spacing w:after="0" w:line="276" w:lineRule="auto"/>
        <w:ind w:left="1304"/>
        <w:rPr>
          <w:rFonts w:ascii="Times New Roman" w:hAnsi="Times New Roman"/>
          <w:szCs w:val="22"/>
          <w:lang w:val="en-GB" w:eastAsia="en-US"/>
        </w:rPr>
      </w:pPr>
    </w:p>
    <w:p w:rsidR="003C5618" w:rsidP="009B2FD4" w14:paraId="646665D3" w14:textId="426033EB">
      <w:pPr>
        <w:spacing w:after="0" w:line="276" w:lineRule="auto"/>
        <w:ind w:left="1304"/>
        <w:rPr>
          <w:rFonts w:ascii="Times New Roman" w:hAnsi="Times New Roman"/>
          <w:szCs w:val="22"/>
          <w:lang w:val="en-GB" w:eastAsia="en-US"/>
        </w:rPr>
      </w:pPr>
      <w:r w:rsidRPr="009B2FD4">
        <w:rPr>
          <w:rFonts w:ascii="Times New Roman" w:hAnsi="Times New Roman"/>
          <w:szCs w:val="22"/>
          <w:lang w:val="en-GB" w:eastAsia="en-US"/>
        </w:rPr>
        <w:t xml:space="preserve">In the event of an increase in share capital through a bonus issue, new shares of each class shall be issued pro rata to the number of shares of the same class previously issued. In this connection, each existing share of a certain class shall entitle its holder to new shares of the same class. This shall not restrict the possibility of issuing new shares of a new class by means of a bonus issue, following the required amendment to the articles of association. </w:t>
      </w:r>
    </w:p>
    <w:p w:rsidR="003C5618" w:rsidP="003C5618" w14:paraId="0CC60136" w14:textId="77777777">
      <w:pPr>
        <w:spacing w:after="0" w:line="276" w:lineRule="auto"/>
        <w:ind w:left="1304"/>
        <w:rPr>
          <w:rFonts w:ascii="Times New Roman" w:hAnsi="Times New Roman"/>
          <w:szCs w:val="22"/>
          <w:lang w:val="en-GB" w:eastAsia="en-US"/>
        </w:rPr>
      </w:pPr>
    </w:p>
    <w:p w:rsidR="003C5618" w:rsidRPr="00880394" w:rsidP="003C5618" w14:paraId="232926F9" w14:textId="288EEBF3">
      <w:pPr>
        <w:spacing w:after="0" w:line="240" w:lineRule="auto"/>
        <w:rPr>
          <w:rFonts w:ascii="Times New Roman" w:hAnsi="Times New Roman"/>
          <w:b/>
          <w:szCs w:val="22"/>
          <w:lang w:val="en-GB" w:eastAsia="en-US"/>
        </w:rPr>
      </w:pPr>
      <w:r w:rsidRPr="00880394" w:rsidR="009B2FD4">
        <w:rPr>
          <w:rFonts w:ascii="Times New Roman" w:hAnsi="Times New Roman"/>
          <w:b/>
          <w:szCs w:val="22"/>
          <w:lang w:val="en-GB" w:eastAsia="en-US"/>
        </w:rPr>
        <w:t>7§</w:t>
        <w:tab/>
        <w:t>Rights of conversion and redemption</w:t>
      </w:r>
    </w:p>
    <w:p w:rsidR="009B2FD4" w:rsidRPr="0012430E" w:rsidP="003C5618" w14:paraId="5E51E2FC" w14:textId="6EA67AED">
      <w:pPr>
        <w:spacing w:after="0" w:line="276" w:lineRule="auto"/>
        <w:ind w:left="1304"/>
        <w:rPr>
          <w:rFonts w:ascii="Times New Roman" w:hAnsi="Times New Roman"/>
          <w:i/>
          <w:iCs/>
          <w:szCs w:val="22"/>
          <w:lang w:val="en-GB" w:eastAsia="en-US"/>
        </w:rPr>
      </w:pPr>
      <w:r w:rsidRPr="0012430E">
        <w:rPr>
          <w:rFonts w:ascii="Times New Roman" w:hAnsi="Times New Roman"/>
          <w:i/>
          <w:iCs/>
          <w:szCs w:val="22"/>
          <w:lang w:val="en-GB" w:eastAsia="en-US"/>
        </w:rPr>
        <w:t xml:space="preserve">Conversion </w:t>
      </w:r>
      <w:r w:rsidRPr="0012430E" w:rsidR="00F13B0B">
        <w:rPr>
          <w:rFonts w:ascii="Times New Roman" w:hAnsi="Times New Roman"/>
          <w:i/>
          <w:iCs/>
          <w:lang w:val="en-GB"/>
        </w:rPr>
        <w:t>of Class C1 shares and Class C2 shares</w:t>
      </w:r>
    </w:p>
    <w:p w:rsidR="009B2FD4" w:rsidRPr="00880394" w:rsidP="009B2FD4" w14:paraId="334F62D9" w14:textId="790457CD">
      <w:pPr>
        <w:spacing w:after="0" w:line="276" w:lineRule="auto"/>
        <w:ind w:left="1304"/>
        <w:rPr>
          <w:rFonts w:ascii="Times New Roman" w:hAnsi="Times New Roman"/>
          <w:szCs w:val="22"/>
          <w:lang w:val="en-GB" w:eastAsia="en-US"/>
        </w:rPr>
      </w:pPr>
      <w:r>
        <w:rPr>
          <w:rFonts w:ascii="Times New Roman" w:hAnsi="Times New Roman"/>
          <w:szCs w:val="22"/>
          <w:lang w:val="en-GB" w:eastAsia="en-US"/>
        </w:rPr>
        <w:t>Shares of Class C1 and Class C2, respectively, may be converted to ordinary shares by a resolution of the Board of Directors. The Board of Directors shall, provided that the condition for conversion is fulfilled, resolve on such conversion of Class C1 shares during the period from and including the day after the Annual General Meeting 2028 up to and including the day before the Annual General Meeting 2029, and of Class C2 shares during the period from and including the day after the Annual General Meeting 2029 up to and including the day before the Annual General Meeting 2030.</w:t>
      </w:r>
    </w:p>
    <w:p w:rsidR="009B2FD4" w:rsidRPr="00880394" w:rsidP="009B2FD4" w14:paraId="078FF6CD" w14:textId="77777777">
      <w:pPr>
        <w:spacing w:after="0" w:line="276" w:lineRule="auto"/>
        <w:ind w:left="1304"/>
        <w:rPr>
          <w:rFonts w:ascii="Times New Roman" w:hAnsi="Times New Roman"/>
          <w:szCs w:val="22"/>
          <w:lang w:val="en-GB" w:eastAsia="en-US"/>
        </w:rPr>
      </w:pPr>
    </w:p>
    <w:p w:rsidR="009B2FD4" w:rsidP="009B2FD4" w14:paraId="2FE970A8" w14:textId="4D66C06F">
      <w:pPr>
        <w:spacing w:after="0" w:line="276" w:lineRule="auto"/>
        <w:ind w:left="1304"/>
        <w:rPr>
          <w:rFonts w:ascii="Times New Roman" w:hAnsi="Times New Roman"/>
          <w:szCs w:val="22"/>
          <w:lang w:val="en-GB" w:eastAsia="en-US"/>
        </w:rPr>
      </w:pPr>
      <w:r w:rsidRPr="00F13B0B" w:rsidR="00F13B0B">
        <w:rPr>
          <w:rFonts w:ascii="Times New Roman" w:hAnsi="Times New Roman"/>
          <w:szCs w:val="22"/>
          <w:lang w:val="en-GB" w:eastAsia="en-US"/>
        </w:rPr>
        <w:t>The condition for conversion of Class C1 shares and Class C2 shares, respectively, to ordinary shares is (i) that the volume-weighted average price of the company’s ordinary share on Nasdaq First North Growth Market, or any regulated market or other trading platform on which the ordinary share is listed, during 10 consecutive trading days during the time period set out above, or, alternatively, (ii) in the absence of an applicable price for the company’s ordinary share in accordance with the above, that the market value for the company’s ordinary share at the time set out above, determined in accordance with established valuation principles, (the “Closing Price”), amounts to more than 130 percent of the volume-weighted average price of the company’s ordinary share on Nasdaq First North Growth Market during the 10 trading days immediately preceding, in respect of Class C1 shares, the company’s first offer to subscribe for Class C1 shares and, in respect of Class C2 shares, the company's first offer to subscribe for C2 shares (the “Threshold”).</w:t>
      </w:r>
    </w:p>
    <w:p w:rsidR="00F13B0B" w:rsidRPr="00880394" w:rsidP="009B2FD4" w14:paraId="490D13F3" w14:textId="77777777">
      <w:pPr>
        <w:spacing w:after="0" w:line="276" w:lineRule="auto"/>
        <w:ind w:left="1304"/>
        <w:rPr>
          <w:rFonts w:ascii="Times New Roman" w:hAnsi="Times New Roman"/>
          <w:szCs w:val="22"/>
          <w:lang w:val="en-GB" w:eastAsia="en-US"/>
        </w:rPr>
      </w:pPr>
    </w:p>
    <w:p w:rsidR="009B7CCE" w:rsidP="009B2FD4" w14:paraId="72898E58" w14:textId="2E239376">
      <w:pPr>
        <w:spacing w:after="0" w:line="276" w:lineRule="auto"/>
        <w:ind w:left="1304"/>
        <w:rPr>
          <w:rFonts w:ascii="Times New Roman" w:hAnsi="Times New Roman"/>
          <w:szCs w:val="22"/>
          <w:lang w:val="en-GB" w:eastAsia="en-US"/>
        </w:rPr>
      </w:pPr>
      <w:r w:rsidRPr="00F13B0B" w:rsidR="00F13B0B">
        <w:rPr>
          <w:rFonts w:ascii="Times New Roman" w:hAnsi="Times New Roman"/>
          <w:szCs w:val="22"/>
          <w:lang w:val="en-GB" w:eastAsia="en-US"/>
        </w:rPr>
        <w:t>Subject to the fulfilment of the condition, the Board of Directors shall, provided that the necessary regulatory approvals have been obtained, resolve to convert a certain number of Class C1 shares or Class C2 shares to ordinary shares calculated in accordance with the formula below. The conversion shall be made pro rata in relation to each shareholder’s holding of Class C1 shares or Class C2 shares at the time of the resolution for the conversion.</w:t>
      </w:r>
    </w:p>
    <w:p w:rsidR="00F13B0B" w:rsidRPr="00880394" w:rsidP="009B2FD4" w14:paraId="23A9152F" w14:textId="77777777">
      <w:pPr>
        <w:spacing w:after="0" w:line="276" w:lineRule="auto"/>
        <w:ind w:left="1304"/>
        <w:rPr>
          <w:rFonts w:ascii="Times New Roman" w:hAnsi="Times New Roman"/>
          <w:szCs w:val="22"/>
          <w:lang w:val="en-GB" w:eastAsia="en-US"/>
        </w:rPr>
      </w:pPr>
    </w:p>
    <w:tbl>
      <w:tblPr>
        <w:tblStyle w:val="TableTheme"/>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245"/>
      </w:tblGrid>
      <w:tr w14:paraId="2D1DC426" w14:textId="77777777" w:rsidTr="00E42684">
        <w:tblPrEx>
          <w:tblW w:w="0" w:type="auto"/>
          <w:tblInd w:w="1418" w:type="dxa"/>
          <w:tblLook w:val="04A0"/>
        </w:tblPrEx>
        <w:tc>
          <w:tcPr>
            <w:tcW w:w="1843" w:type="dxa"/>
            <w:vMerge w:val="restart"/>
          </w:tcPr>
          <w:p w:rsidR="00AC5765" w:rsidP="0023149B" w14:paraId="34D6A881" w14:textId="77777777">
            <w:pPr>
              <w:pStyle w:val="NormalWeb"/>
              <w:rPr>
                <w:rFonts w:ascii="Times New Roman" w:hAnsi="Times New Roman" w:cs="Times New Roman"/>
                <w:bCs/>
                <w:i/>
                <w:iCs/>
                <w:lang w:val="en-US"/>
              </w:rPr>
            </w:pPr>
          </w:p>
          <w:p w:rsidR="00AC5765" w:rsidRPr="00AC5765" w:rsidP="0023149B" w14:paraId="335716ED" w14:textId="56F4D13D">
            <w:pPr>
              <w:pStyle w:val="NormalWeb"/>
              <w:rPr>
                <w:rFonts w:ascii="Times New Roman" w:hAnsi="Times New Roman" w:cs="Times New Roman"/>
                <w:bCs/>
                <w:i/>
                <w:iCs/>
                <w:lang w:val="en-US"/>
              </w:rPr>
            </w:pPr>
            <w:r w:rsidRPr="00880394">
              <w:rPr>
                <w:rFonts w:ascii="Times New Roman" w:hAnsi="Times New Roman" w:cs="Times New Roman"/>
                <w:bCs/>
                <w:i/>
                <w:iCs/>
                <w:lang w:val="en-US"/>
              </w:rPr>
              <w:t>Number of Class C1 shares or Class C2 shares to be converted =</w:t>
            </w:r>
          </w:p>
        </w:tc>
        <w:tc>
          <w:tcPr>
            <w:tcW w:w="5245" w:type="dxa"/>
            <w:tcBorders>
              <w:bottom w:val="single" w:sz="4" w:space="0" w:color="auto"/>
            </w:tcBorders>
          </w:tcPr>
          <w:p w:rsidR="00AC5765" w:rsidRPr="00880394" w:rsidP="0023149B" w14:paraId="2F1754D2" w14:textId="3592925C">
            <w:pPr>
              <w:pStyle w:val="NormalWeb"/>
              <w:jc w:val="center"/>
              <w:rPr>
                <w:rFonts w:ascii="Times New Roman" w:hAnsi="Times New Roman" w:cs="Times New Roman"/>
                <w:bCs/>
                <w:i/>
                <w:iCs/>
                <w:lang w:val="en-GB"/>
              </w:rPr>
            </w:pPr>
            <w:r w:rsidRPr="00880394">
              <w:rPr>
                <w:rFonts w:ascii="Times New Roman" w:hAnsi="Times New Roman" w:cs="Times New Roman"/>
                <w:bCs/>
                <w:i/>
                <w:iCs/>
                <w:lang w:val="en-US"/>
              </w:rPr>
              <w:t xml:space="preserve">(Closing Price – Threshold) </w:t>
              <w:br/>
              <w:t>x number of outstanding Class C1 shares or Class C2 shares</w:t>
              <w:br/>
              <w:t>x conversion factor</w:t>
            </w:r>
            <w:r>
              <w:rPr>
                <w:rFonts w:ascii="Times New Roman" w:hAnsi="Times New Roman" w:cs="Times New Roman"/>
                <w:bCs/>
                <w:i/>
                <w:iCs/>
                <w:vertAlign w:val="superscript"/>
                <w:lang w:val="en-GB"/>
              </w:rPr>
              <w:footnoteReference w:id="3"/>
            </w:r>
          </w:p>
        </w:tc>
      </w:tr>
      <w:tr w14:paraId="78B40194" w14:textId="77777777" w:rsidTr="00E42684">
        <w:tblPrEx>
          <w:tblW w:w="0" w:type="auto"/>
          <w:tblInd w:w="1418" w:type="dxa"/>
          <w:tblLook w:val="04A0"/>
        </w:tblPrEx>
        <w:tc>
          <w:tcPr>
            <w:tcW w:w="1843" w:type="dxa"/>
            <w:vMerge/>
          </w:tcPr>
          <w:p w:rsidR="00AC5765" w:rsidRPr="00880394" w:rsidP="0023149B" w14:paraId="69FAA0B2" w14:textId="6576C9DA">
            <w:pPr>
              <w:pStyle w:val="NormalWeb"/>
              <w:rPr>
                <w:rFonts w:ascii="Times New Roman" w:hAnsi="Times New Roman" w:cs="Times New Roman"/>
                <w:bCs/>
                <w:i/>
                <w:iCs/>
                <w:lang w:val="en-US"/>
              </w:rPr>
            </w:pPr>
          </w:p>
        </w:tc>
        <w:tc>
          <w:tcPr>
            <w:tcW w:w="5245" w:type="dxa"/>
            <w:tcBorders>
              <w:top w:val="single" w:sz="4" w:space="0" w:color="auto"/>
            </w:tcBorders>
          </w:tcPr>
          <w:p w:rsidR="00AC5765" w:rsidP="0023149B" w14:paraId="11A56BAF" w14:textId="5E91A40D">
            <w:pPr>
              <w:pStyle w:val="NormalWeb"/>
              <w:jc w:val="center"/>
              <w:rPr>
                <w:rFonts w:ascii="Times New Roman" w:hAnsi="Times New Roman" w:cs="Times New Roman"/>
                <w:bCs/>
                <w:i/>
                <w:iCs/>
              </w:rPr>
            </w:pPr>
            <w:r w:rsidRPr="00880394">
              <w:rPr>
                <w:rFonts w:ascii="Times New Roman" w:hAnsi="Times New Roman" w:cs="Times New Roman"/>
                <w:bCs/>
                <w:i/>
                <w:iCs/>
              </w:rPr>
              <w:t>Closing Price</w:t>
            </w:r>
          </w:p>
          <w:p w:rsidR="00AC5765" w:rsidRPr="00880394" w:rsidP="0023149B" w14:paraId="4EF3C406" w14:textId="2A69A454">
            <w:pPr>
              <w:pStyle w:val="NormalWeb"/>
              <w:jc w:val="center"/>
              <w:rPr>
                <w:rFonts w:ascii="Times New Roman" w:hAnsi="Times New Roman" w:cs="Times New Roman"/>
                <w:bCs/>
                <w:i/>
                <w:iCs/>
              </w:rPr>
            </w:pPr>
          </w:p>
        </w:tc>
      </w:tr>
    </w:tbl>
    <w:p w:rsidR="009B2FD4" w:rsidRPr="00880394" w:rsidP="009B2FD4" w14:paraId="1FB67EE6" w14:textId="77777777">
      <w:pPr>
        <w:spacing w:after="0" w:line="276" w:lineRule="auto"/>
        <w:ind w:left="1304"/>
        <w:rPr>
          <w:rFonts w:ascii="Times New Roman" w:hAnsi="Times New Roman"/>
          <w:szCs w:val="22"/>
          <w:lang w:val="en-GB" w:eastAsia="en-US"/>
        </w:rPr>
      </w:pPr>
    </w:p>
    <w:p w:rsidR="003C5618" w:rsidRPr="00880394" w:rsidP="009B2FD4" w14:paraId="7CC8D454" w14:textId="04979CAC">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 xml:space="preserve">Only a whole number of shares can be converted, rounding down to the nearest whole ordinary share. The threshold and the conversion factor shall be subject to recalculation following a reverse share split or share split, share issues with pre-emptive rights, extraordinary dividends or similar corporate events occurring before conversion, in line with customary principles for recalculation in warrant and share-based incentive programs in the stock market as resolved upon by the Board of Directors. </w:t>
      </w:r>
    </w:p>
    <w:p w:rsidR="009B2FD4" w:rsidRPr="00880394" w:rsidP="009B2FD4" w14:paraId="3FF65139" w14:textId="77777777">
      <w:pPr>
        <w:spacing w:after="0" w:line="276" w:lineRule="auto"/>
        <w:ind w:left="1304"/>
        <w:rPr>
          <w:rFonts w:ascii="Times New Roman" w:hAnsi="Times New Roman"/>
          <w:szCs w:val="22"/>
          <w:lang w:val="en-GB" w:eastAsia="en-US"/>
        </w:rPr>
      </w:pPr>
    </w:p>
    <w:p w:rsidR="00013B35" w:rsidRPr="00880394" w:rsidP="009B2FD4" w14:paraId="314D381D" w14:textId="6D53909A">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Immediately after a resolution to convert shares has been made, the Board of Directors shall report the conversion to the Swedish Companies Registration Office for registration. The conversion is effected when it has been registered and the conversion has been noted in the central securities depository register.</w:t>
      </w:r>
    </w:p>
    <w:p w:rsidR="00013B35" w:rsidRPr="00880394" w:rsidP="009B2FD4" w14:paraId="0FCB2BB0" w14:textId="77777777">
      <w:pPr>
        <w:spacing w:after="0" w:line="276" w:lineRule="auto"/>
        <w:ind w:left="1304"/>
        <w:rPr>
          <w:rFonts w:ascii="Times New Roman" w:hAnsi="Times New Roman"/>
          <w:szCs w:val="22"/>
          <w:lang w:val="en-GB" w:eastAsia="en-US"/>
        </w:rPr>
      </w:pPr>
    </w:p>
    <w:p w:rsidR="009B2FD4" w:rsidRPr="00880394" w:rsidP="009B2FD4" w14:paraId="6001836D" w14:textId="0D2B7E3F">
      <w:pPr>
        <w:spacing w:after="0" w:line="276" w:lineRule="auto"/>
        <w:ind w:left="1304"/>
        <w:rPr>
          <w:rFonts w:ascii="Times New Roman" w:hAnsi="Times New Roman"/>
          <w:szCs w:val="22"/>
          <w:u w:val="single"/>
          <w:lang w:val="en-GB" w:eastAsia="en-US"/>
        </w:rPr>
      </w:pPr>
      <w:r w:rsidRPr="00F13B0B" w:rsidR="00F13B0B">
        <w:rPr>
          <w:rFonts w:ascii="Times New Roman" w:hAnsi="Times New Roman"/>
          <w:szCs w:val="22"/>
          <w:u w:val="single"/>
          <w:lang w:val="en-GB" w:eastAsia="en-US"/>
        </w:rPr>
        <w:t>Redemption of Class C1 shares and Class C2 shares</w:t>
      </w:r>
    </w:p>
    <w:p w:rsidR="009B2FD4" w:rsidRPr="00880394" w:rsidP="009B2FD4" w14:paraId="383CF66E" w14:textId="615734EE">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The share capital may be reduced by redemption of Class C1 shares and Class C2 shares, by a resolution of the Board of Directors, however, in any case not below the minimum share capital, in accordance with the below.</w:t>
      </w:r>
    </w:p>
    <w:p w:rsidR="009B2FD4" w:rsidRPr="00880394" w:rsidP="009B2FD4" w14:paraId="15C6BCA5" w14:textId="77777777">
      <w:pPr>
        <w:spacing w:after="0" w:line="276" w:lineRule="auto"/>
        <w:ind w:left="1304"/>
        <w:rPr>
          <w:rFonts w:ascii="Times New Roman" w:hAnsi="Times New Roman"/>
          <w:szCs w:val="22"/>
          <w:lang w:val="en-GB" w:eastAsia="en-US"/>
        </w:rPr>
      </w:pPr>
    </w:p>
    <w:p w:rsidR="009B2FD4" w:rsidRPr="00880394" w:rsidP="009B2FD4" w14:paraId="043FC1E3" w14:textId="277C3491">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Immediately after the earlier of (i) the Board of Directors’ resolution to convert Class C1 shares/Class C2 shares into ordinary shares as set out above, and (ii) the expiry of the time period for conversion as set out above, the Board of Directors shall resolve on redemption of Class C1 shares/Class C2 shares that have not been converted. The redemption price per share shall amount to the quota value of the share.</w:t>
      </w:r>
    </w:p>
    <w:p w:rsidR="009B2FD4" w:rsidRPr="00880394" w:rsidP="009B2FD4" w14:paraId="1CFDE0EE" w14:textId="77777777">
      <w:pPr>
        <w:spacing w:after="0" w:line="276" w:lineRule="auto"/>
        <w:ind w:left="1304"/>
        <w:rPr>
          <w:rFonts w:ascii="Times New Roman" w:hAnsi="Times New Roman"/>
          <w:szCs w:val="22"/>
          <w:lang w:val="en-GB" w:eastAsia="en-US"/>
        </w:rPr>
      </w:pPr>
    </w:p>
    <w:p w:rsidR="009B2FD4" w:rsidRPr="00880394" w:rsidP="009B2FD4" w14:paraId="13D3CCC1" w14:textId="355C7FD1">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The share capital may also be reduced at the request of a Class C1/Class C2 shareholder, and following a resolution of the Board of Directors, by redemption of the shareholder’s Class C1 shares/Class C2 shares. The redemption price per share shall amount to the lower of (a) the average subscription price for all Class C1 shares/Class C2 shares and (b) the market value of the share at the time of the resolution by the Board of Directors. Such resolution by the Board of Directors shall be made within one month after the request by the shareholder.</w:t>
      </w:r>
    </w:p>
    <w:p w:rsidR="009B2FD4" w:rsidRPr="00880394" w:rsidP="009B2FD4" w14:paraId="3F62B97E" w14:textId="77777777">
      <w:pPr>
        <w:spacing w:after="0" w:line="276" w:lineRule="auto"/>
        <w:ind w:left="1304"/>
        <w:rPr>
          <w:rFonts w:ascii="Times New Roman" w:hAnsi="Times New Roman"/>
          <w:szCs w:val="22"/>
          <w:lang w:val="en-GB" w:eastAsia="en-US"/>
        </w:rPr>
      </w:pPr>
    </w:p>
    <w:p w:rsidR="009B2FD4" w:rsidRPr="00880394" w:rsidP="009B2FD4" w14:paraId="4972F384" w14:textId="77777777">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The redemption price shall be paid as soon as possible after the Board of Directors’ resolution on redemption of shares has been registered or, in the event the reduction requires permission from the Swedish Companies Registration Office or a general court, no later than three months following the date on which the legally binding decision to grant permission was registered.</w:t>
      </w:r>
    </w:p>
    <w:p w:rsidR="009B2FD4" w:rsidRPr="00880394" w:rsidP="009B2FD4" w14:paraId="59F4EBB7" w14:textId="77777777">
      <w:pPr>
        <w:spacing w:after="0" w:line="276" w:lineRule="auto"/>
        <w:ind w:left="1304"/>
        <w:rPr>
          <w:rFonts w:ascii="Times New Roman" w:hAnsi="Times New Roman"/>
          <w:szCs w:val="22"/>
          <w:lang w:val="en-GB" w:eastAsia="en-US"/>
        </w:rPr>
      </w:pPr>
    </w:p>
    <w:p w:rsidR="009B2FD4" w:rsidRPr="00880394" w:rsidP="009B2FD4" w14:paraId="7A05A5BC" w14:textId="1E6B00AE">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When a resolution is made to redeem Class C1 shares/Class C2 shares, an amount corresponding to the reduction amount shall be allocated to the reserve fund if the necessary funds are available. Immediately after a resolution on redemption of shares has been made, the Board of Directors shall report the redemption to the Swedish Companies Registration Office for registration. The redemption is effected when it has been registered and the redemption been noted in the central securities depository register.</w:t>
      </w:r>
    </w:p>
    <w:p w:rsidR="00CC5488" w:rsidRPr="00880394" w:rsidP="007E1BCD" w14:paraId="35D18146" w14:textId="77777777">
      <w:pPr>
        <w:spacing w:after="0" w:line="276" w:lineRule="auto"/>
        <w:ind w:left="1304"/>
        <w:rPr>
          <w:rFonts w:ascii="Times New Roman" w:hAnsi="Times New Roman"/>
          <w:szCs w:val="22"/>
          <w:lang w:val="en-GB" w:eastAsia="en-US"/>
        </w:rPr>
      </w:pPr>
    </w:p>
    <w:p w:rsidR="007E1BCD" w:rsidRPr="00880394" w:rsidP="007E1BCD" w14:paraId="6ABF59F1" w14:textId="24728F14">
      <w:pPr>
        <w:spacing w:after="0" w:line="240" w:lineRule="auto"/>
        <w:rPr>
          <w:rFonts w:ascii="Times New Roman" w:hAnsi="Times New Roman"/>
          <w:b/>
          <w:szCs w:val="22"/>
          <w:lang w:val="en-GB" w:eastAsia="en-US"/>
        </w:rPr>
      </w:pPr>
      <w:r w:rsidRPr="00880394">
        <w:rPr>
          <w:rFonts w:ascii="Times New Roman" w:hAnsi="Times New Roman"/>
          <w:b/>
          <w:szCs w:val="22"/>
          <w:lang w:val="en-GB" w:eastAsia="en-US"/>
        </w:rPr>
        <w:t>8§</w:t>
        <w:tab/>
        <w:t>Euroclear company</w:t>
      </w:r>
    </w:p>
    <w:p w:rsidR="007E1BCD" w:rsidRPr="00880394" w:rsidP="007E1BCD" w14:paraId="49EA5F6C" w14:textId="77777777">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The company’s shares shall be registered in a central securities depository register in accordance with the Swedish Central Securities Depositories and Financial Instruments (Accounts) Act (1998:1479).</w:t>
      </w:r>
    </w:p>
    <w:p w:rsidR="00464C19" w:rsidRPr="00880394" w:rsidP="007E1BCD" w14:paraId="4401C459" w14:textId="77777777">
      <w:pPr>
        <w:spacing w:after="0" w:line="276" w:lineRule="auto"/>
        <w:ind w:left="1304"/>
        <w:rPr>
          <w:rFonts w:ascii="Times New Roman" w:hAnsi="Times New Roman"/>
          <w:szCs w:val="22"/>
          <w:lang w:val="en-GB" w:eastAsia="en-US"/>
        </w:rPr>
      </w:pPr>
    </w:p>
    <w:p w:rsidR="007E1BCD" w:rsidRPr="00880394" w:rsidP="007E1BCD" w14:paraId="35A96B9E" w14:textId="5EF35F6E">
      <w:pPr>
        <w:spacing w:after="0" w:line="240" w:lineRule="auto"/>
        <w:rPr>
          <w:rFonts w:ascii="Times New Roman" w:hAnsi="Times New Roman"/>
          <w:b/>
          <w:szCs w:val="22"/>
          <w:lang w:val="en-GB" w:eastAsia="en-US"/>
        </w:rPr>
      </w:pPr>
      <w:r w:rsidRPr="00880394">
        <w:rPr>
          <w:rFonts w:ascii="Times New Roman" w:hAnsi="Times New Roman"/>
          <w:b/>
          <w:szCs w:val="22"/>
          <w:lang w:val="en-GB" w:eastAsia="en-US"/>
        </w:rPr>
        <w:t xml:space="preserve">9§ </w:t>
        <w:tab/>
        <w:t>Board of directors</w:t>
      </w:r>
    </w:p>
    <w:p w:rsidR="007E1BCD" w:rsidRPr="00880394" w:rsidP="007E1BCD" w14:paraId="3F926D0E" w14:textId="77777777">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The board of directors shall consist of not less than 3-10 members with not more than 4 deputy members. The board of directors is elected at the annual general meeting for the time until the close of the next annual general meeting.</w:t>
      </w:r>
    </w:p>
    <w:p w:rsidR="007E1BCD" w:rsidRPr="00880394" w:rsidP="007E1BCD" w14:paraId="6F6E9810" w14:textId="77777777">
      <w:pPr>
        <w:spacing w:after="0" w:line="276" w:lineRule="auto"/>
        <w:ind w:left="1304"/>
        <w:rPr>
          <w:rFonts w:ascii="Times New Roman" w:hAnsi="Times New Roman"/>
          <w:szCs w:val="22"/>
          <w:lang w:val="en-GB" w:eastAsia="en-US"/>
        </w:rPr>
      </w:pPr>
    </w:p>
    <w:p w:rsidR="007E1BCD" w:rsidRPr="00880394" w:rsidP="007E1BCD" w14:paraId="00CC7FD3" w14:textId="59A8AE54">
      <w:pPr>
        <w:spacing w:after="0" w:line="240" w:lineRule="auto"/>
        <w:rPr>
          <w:rFonts w:ascii="Times New Roman" w:hAnsi="Times New Roman"/>
          <w:b/>
          <w:szCs w:val="22"/>
          <w:lang w:val="en-GB" w:eastAsia="en-US"/>
        </w:rPr>
      </w:pPr>
      <w:r w:rsidRPr="00880394">
        <w:rPr>
          <w:rFonts w:ascii="Times New Roman" w:hAnsi="Times New Roman"/>
          <w:b/>
          <w:szCs w:val="22"/>
          <w:lang w:val="en-GB" w:eastAsia="en-US"/>
        </w:rPr>
        <w:t>10§</w:t>
        <w:tab/>
        <w:t>Auditors</w:t>
      </w:r>
    </w:p>
    <w:p w:rsidR="007E1BCD" w:rsidRPr="00880394" w:rsidP="007E1BCD" w14:paraId="4050653E" w14:textId="77777777">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For the purposes of examining the company’s annual report as well as the management by the board of directors and the managing director, 1-2 auditors with or without not more than 2 deputy auditors shall be appointed.</w:t>
      </w:r>
    </w:p>
    <w:p w:rsidR="007E1BCD" w:rsidRPr="00880394" w:rsidP="007E1BCD" w14:paraId="6748E014" w14:textId="77777777">
      <w:pPr>
        <w:spacing w:after="0" w:line="276" w:lineRule="auto"/>
        <w:ind w:left="1304"/>
        <w:rPr>
          <w:rFonts w:ascii="Times New Roman" w:hAnsi="Times New Roman"/>
          <w:szCs w:val="22"/>
          <w:lang w:val="en-GB" w:eastAsia="en-US"/>
        </w:rPr>
      </w:pPr>
    </w:p>
    <w:p w:rsidR="007E1BCD" w:rsidRPr="00880394" w:rsidP="007E1BCD" w14:paraId="71C93B6D" w14:textId="146C6948">
      <w:pPr>
        <w:spacing w:after="0" w:line="240" w:lineRule="auto"/>
        <w:rPr>
          <w:rFonts w:ascii="Times New Roman" w:hAnsi="Times New Roman"/>
          <w:b/>
          <w:szCs w:val="22"/>
          <w:lang w:val="en-GB" w:eastAsia="en-US"/>
        </w:rPr>
      </w:pPr>
      <w:r w:rsidRPr="00880394">
        <w:rPr>
          <w:rFonts w:ascii="Times New Roman" w:hAnsi="Times New Roman"/>
          <w:b/>
          <w:szCs w:val="22"/>
          <w:lang w:val="en-GB" w:eastAsia="en-US"/>
        </w:rPr>
        <w:t>11§</w:t>
        <w:tab/>
        <w:t>Notice of shareholders’ meeting</w:t>
      </w:r>
    </w:p>
    <w:p w:rsidR="007E1BCD" w:rsidRPr="00880394" w:rsidP="007E1BCD" w14:paraId="4FF9AE78" w14:textId="77777777">
      <w:pPr>
        <w:spacing w:after="0" w:line="276" w:lineRule="auto"/>
        <w:ind w:left="1304"/>
        <w:rPr>
          <w:rFonts w:ascii="Times New Roman" w:hAnsi="Times New Roman"/>
          <w:szCs w:val="22"/>
          <w:lang w:val="en-GB" w:eastAsia="en-US"/>
        </w:rPr>
      </w:pPr>
      <w:r w:rsidRPr="00880394">
        <w:rPr>
          <w:rFonts w:ascii="Times New Roman" w:hAnsi="Times New Roman"/>
          <w:szCs w:val="22"/>
          <w:lang w:val="en-GB" w:eastAsia="en-US"/>
        </w:rPr>
        <w:t>Notice of shareholders’ meetings shall be made through announcement in the Swedish Official Gazette (Sw. Post- och Inrikes Tidningar) and on the company’s website. At the time of notice, information that notice has been published shall be published in Svenska Dagbladet.</w:t>
      </w:r>
    </w:p>
    <w:p w:rsidR="007E1BCD" w:rsidRPr="00880394" w:rsidP="007E1BCD" w14:paraId="38A724C2" w14:textId="77777777">
      <w:pPr>
        <w:spacing w:after="0" w:line="276" w:lineRule="auto"/>
        <w:ind w:left="1304"/>
        <w:rPr>
          <w:rFonts w:ascii="Times New Roman" w:hAnsi="Times New Roman"/>
          <w:szCs w:val="22"/>
          <w:lang w:val="en-GB" w:eastAsia="en-US"/>
        </w:rPr>
      </w:pPr>
    </w:p>
    <w:p w:rsidR="007E1BCD" w:rsidRPr="00880394" w:rsidP="007E1BCD" w14:paraId="7F3A0748" w14:textId="1DC8A7E7">
      <w:pPr>
        <w:spacing w:after="0" w:line="240" w:lineRule="auto"/>
        <w:rPr>
          <w:rFonts w:ascii="Times New Roman" w:hAnsi="Times New Roman"/>
          <w:b/>
          <w:szCs w:val="22"/>
          <w:lang w:val="en-GB" w:eastAsia="en-US"/>
        </w:rPr>
      </w:pPr>
      <w:r w:rsidRPr="00880394">
        <w:rPr>
          <w:rFonts w:ascii="Times New Roman" w:hAnsi="Times New Roman"/>
          <w:b/>
          <w:szCs w:val="22"/>
          <w:lang w:val="en-GB" w:eastAsia="en-US"/>
        </w:rPr>
        <w:t>12§</w:t>
        <w:tab/>
        <w:t>Opening of shareholders’ meeting</w:t>
      </w:r>
    </w:p>
    <w:p w:rsidR="007E1BCD" w:rsidP="007E1BCD" w14:paraId="70364911"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The chairman of the board of directors, or the person thereto appointed by the board of directors, shall open the shareholders’ meeting and moderate until a chairman of the meeting has been elected.</w:t>
      </w:r>
    </w:p>
    <w:p w:rsidR="007E1BCD" w:rsidP="007E1BCD" w14:paraId="6D9E1160" w14:textId="77777777">
      <w:pPr>
        <w:spacing w:after="0" w:line="276" w:lineRule="auto"/>
        <w:ind w:left="1304"/>
        <w:rPr>
          <w:rFonts w:ascii="Times New Roman" w:hAnsi="Times New Roman"/>
          <w:szCs w:val="22"/>
          <w:lang w:val="en-GB" w:eastAsia="en-US"/>
        </w:rPr>
      </w:pPr>
    </w:p>
    <w:p w:rsidR="007E1BCD" w:rsidP="007E1BCD" w14:paraId="640D87FC" w14:textId="0D809415">
      <w:pPr>
        <w:spacing w:after="0" w:line="240" w:lineRule="auto"/>
        <w:rPr>
          <w:rFonts w:ascii="Times New Roman" w:hAnsi="Times New Roman"/>
          <w:b/>
          <w:szCs w:val="22"/>
          <w:lang w:val="en-GB" w:eastAsia="en-US"/>
        </w:rPr>
      </w:pPr>
      <w:r>
        <w:rPr>
          <w:rFonts w:ascii="Times New Roman" w:hAnsi="Times New Roman"/>
          <w:b/>
          <w:szCs w:val="22"/>
          <w:lang w:val="en-GB" w:eastAsia="en-US"/>
        </w:rPr>
        <w:t>13§</w:t>
        <w:tab/>
        <w:t>Shareholders’ meeting</w:t>
      </w:r>
    </w:p>
    <w:p w:rsidR="007E1BCD" w:rsidP="007E1BCD" w14:paraId="7626AEFA"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Annual shareholders’ meeting is held annually within 6 months following the end of the financial year.</w:t>
      </w:r>
    </w:p>
    <w:p w:rsidR="007E1BCD" w:rsidP="007E1BCD" w14:paraId="4513A442" w14:textId="77777777">
      <w:pPr>
        <w:spacing w:after="0" w:line="276" w:lineRule="auto"/>
        <w:ind w:left="1304"/>
        <w:rPr>
          <w:rFonts w:ascii="Times New Roman" w:hAnsi="Times New Roman"/>
          <w:szCs w:val="22"/>
          <w:lang w:val="en-GB" w:eastAsia="en-US"/>
        </w:rPr>
      </w:pPr>
    </w:p>
    <w:p w:rsidR="007E1BCD" w:rsidP="007E1BCD" w14:paraId="1D914023" w14:textId="77777777">
      <w:pPr>
        <w:spacing w:after="0" w:line="240" w:lineRule="auto"/>
        <w:ind w:firstLine="1304"/>
        <w:rPr>
          <w:rFonts w:ascii="Times New Roman" w:hAnsi="Times New Roman"/>
          <w:szCs w:val="22"/>
          <w:lang w:val="en-GB" w:eastAsia="en-US"/>
        </w:rPr>
      </w:pPr>
      <w:r>
        <w:rPr>
          <w:rFonts w:ascii="Times New Roman" w:hAnsi="Times New Roman"/>
          <w:szCs w:val="22"/>
          <w:lang w:val="en-GB" w:eastAsia="en-US"/>
        </w:rPr>
        <w:t>The following business shall be addressed at the annual shareholders’ meetings.</w:t>
      </w:r>
    </w:p>
    <w:p w:rsidR="007E1BCD" w:rsidP="007E1BCD" w14:paraId="68562F1E"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Election of a chairman of the meeting.</w:t>
      </w:r>
    </w:p>
    <w:p w:rsidR="007E1BCD" w:rsidP="007E1BCD" w14:paraId="4D5A78C6"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Preparation and approval of the voting list.</w:t>
      </w:r>
    </w:p>
    <w:p w:rsidR="007E1BCD" w:rsidP="007E1BCD" w14:paraId="22D82CD5"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Election of one or two persons who shall approve the minutes.</w:t>
      </w:r>
    </w:p>
    <w:p w:rsidR="007E1BCD" w:rsidP="007E1BCD" w14:paraId="5A3CA63E"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Determination of whether the meeting has been duly convened.</w:t>
      </w:r>
    </w:p>
    <w:p w:rsidR="007E1BCD" w:rsidP="007E1BCD" w14:paraId="63C28192"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Approval of the proposed agenda.</w:t>
      </w:r>
    </w:p>
    <w:p w:rsidR="007E1BCD" w:rsidP="007E1BCD" w14:paraId="37F1B134" w14:textId="0D5A37C2">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Presentation of submitted annual report and the auditor’s report, the consolidated financial statements and the auditor’s report for the group, and the auditor’s report on the consolidated sustainability report.</w:t>
      </w:r>
    </w:p>
    <w:p w:rsidR="007E1BCD" w:rsidP="007E1BCD" w14:paraId="4E27F8B3" w14:textId="77777777">
      <w:pPr>
        <w:numPr>
          <w:ilvl w:val="0"/>
          <w:numId w:val="3"/>
        </w:numPr>
        <w:spacing w:after="0" w:line="276" w:lineRule="auto"/>
        <w:contextualSpacing/>
        <w:jc w:val="left"/>
        <w:rPr>
          <w:rFonts w:ascii="Times New Roman" w:hAnsi="Times New Roman"/>
          <w:szCs w:val="22"/>
          <w:lang w:eastAsia="en-US"/>
        </w:rPr>
      </w:pPr>
      <w:r>
        <w:rPr>
          <w:rFonts w:ascii="Times New Roman" w:hAnsi="Times New Roman"/>
          <w:szCs w:val="22"/>
          <w:lang w:eastAsia="en-US"/>
        </w:rPr>
        <w:t>Resolutions regarding</w:t>
      </w:r>
    </w:p>
    <w:p w:rsidR="007E1BCD" w:rsidP="007E1BCD" w14:paraId="6E7CB893" w14:textId="5919B350">
      <w:pPr>
        <w:numPr>
          <w:ilvl w:val="0"/>
          <w:numId w:val="2"/>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The adoption of the income statement and the balance sheet, and the consolidated income statement and consolidated balance sheet.</w:t>
      </w:r>
    </w:p>
    <w:p w:rsidR="007E1BCD" w:rsidP="007E1BCD" w14:paraId="41C1DF88" w14:textId="77777777">
      <w:pPr>
        <w:numPr>
          <w:ilvl w:val="0"/>
          <w:numId w:val="2"/>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The allocation of the company’s profits or losses in accordance with the adopted balance sheet and, when applicable, the adopted consolidated balance sheet.</w:t>
      </w:r>
    </w:p>
    <w:p w:rsidR="007E1BCD" w:rsidP="007E1BCD" w14:paraId="45A92F42" w14:textId="77777777">
      <w:pPr>
        <w:numPr>
          <w:ilvl w:val="0"/>
          <w:numId w:val="2"/>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 xml:space="preserve">Discharge of the members of the board of directors and the managing director from liability, when such occurs. </w:t>
      </w:r>
    </w:p>
    <w:p w:rsidR="007E1BCD" w:rsidP="007E1BCD" w14:paraId="0686E26D"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Determination of fees for members of the board of directors and auditor.</w:t>
      </w:r>
    </w:p>
    <w:p w:rsidR="007E1BCD" w:rsidP="007E1BCD" w14:paraId="7FA93534"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 xml:space="preserve">Election of the board of directors and potential deputy members and auditors and potential deputy auditors. </w:t>
      </w:r>
    </w:p>
    <w:p w:rsidR="007E1BCD" w:rsidP="007E1BCD" w14:paraId="196B0248" w14:textId="77777777">
      <w:pPr>
        <w:numPr>
          <w:ilvl w:val="0"/>
          <w:numId w:val="3"/>
        </w:numPr>
        <w:spacing w:after="0" w:line="276" w:lineRule="auto"/>
        <w:contextualSpacing/>
        <w:jc w:val="left"/>
        <w:rPr>
          <w:rFonts w:ascii="Times New Roman" w:hAnsi="Times New Roman"/>
          <w:szCs w:val="22"/>
          <w:lang w:val="en-GB" w:eastAsia="en-US"/>
        </w:rPr>
      </w:pPr>
      <w:r>
        <w:rPr>
          <w:rFonts w:ascii="Times New Roman" w:hAnsi="Times New Roman"/>
          <w:szCs w:val="22"/>
          <w:lang w:val="en-GB" w:eastAsia="en-US"/>
        </w:rPr>
        <w:t>Other matters, which are set out in the Swedish Companies Act (2005:551) or the company’s articles of association.</w:t>
      </w:r>
    </w:p>
    <w:p w:rsidR="007E1BCD" w:rsidP="007E1BCD" w14:paraId="39433755" w14:textId="77777777">
      <w:pPr>
        <w:spacing w:after="0" w:line="240" w:lineRule="auto"/>
        <w:rPr>
          <w:rFonts w:ascii="Times New Roman" w:hAnsi="Times New Roman"/>
          <w:b/>
          <w:szCs w:val="22"/>
          <w:lang w:val="en-GB" w:eastAsia="en-US"/>
        </w:rPr>
      </w:pPr>
    </w:p>
    <w:p w:rsidR="007E1BCD" w:rsidP="007E1BCD" w14:paraId="62AE940A" w14:textId="70F9B555">
      <w:pPr>
        <w:spacing w:after="0" w:line="240" w:lineRule="auto"/>
        <w:rPr>
          <w:rFonts w:ascii="Times New Roman" w:hAnsi="Times New Roman"/>
          <w:b/>
          <w:szCs w:val="22"/>
          <w:lang w:val="en-GB" w:eastAsia="en-US"/>
        </w:rPr>
      </w:pPr>
      <w:r>
        <w:rPr>
          <w:rFonts w:ascii="Times New Roman" w:hAnsi="Times New Roman"/>
          <w:b/>
          <w:szCs w:val="22"/>
          <w:lang w:val="en-GB" w:eastAsia="en-US"/>
        </w:rPr>
        <w:t>14§</w:t>
        <w:tab/>
        <w:t>Financial year</w:t>
      </w:r>
    </w:p>
    <w:p w:rsidR="007E1BCD" w:rsidP="007E1BCD" w14:paraId="5E722D81"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The company’s financial year shall encompass the period 1/1 – 31/12.</w:t>
      </w:r>
    </w:p>
    <w:p w:rsidR="007E1BCD" w:rsidP="007E1BCD" w14:paraId="5D48A0F4" w14:textId="77777777">
      <w:pPr>
        <w:spacing w:after="0" w:line="276" w:lineRule="auto"/>
        <w:ind w:left="1304"/>
        <w:rPr>
          <w:rFonts w:ascii="Times New Roman" w:hAnsi="Times New Roman"/>
          <w:szCs w:val="22"/>
          <w:lang w:val="en-GB" w:eastAsia="en-US"/>
        </w:rPr>
      </w:pPr>
    </w:p>
    <w:p w:rsidR="007E1BCD" w:rsidP="007E1BCD" w14:paraId="46538A7B" w14:textId="7682438A">
      <w:pPr>
        <w:spacing w:after="0" w:line="240" w:lineRule="auto"/>
        <w:rPr>
          <w:rFonts w:ascii="Times New Roman" w:hAnsi="Times New Roman"/>
          <w:b/>
          <w:szCs w:val="22"/>
          <w:lang w:val="en-GB" w:eastAsia="en-US"/>
        </w:rPr>
      </w:pPr>
      <w:r>
        <w:rPr>
          <w:rFonts w:ascii="Times New Roman" w:hAnsi="Times New Roman"/>
          <w:b/>
          <w:szCs w:val="22"/>
          <w:lang w:val="en-GB" w:eastAsia="en-US"/>
        </w:rPr>
        <w:t>15§</w:t>
        <w:tab/>
        <w:t>Participation in the shareholders’ meeting</w:t>
      </w:r>
    </w:p>
    <w:p w:rsidR="007E1BCD" w:rsidP="007E1BCD" w14:paraId="0DF4625C"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In order to participate in a shareholders’ meeting, a shareholder must notify the company of the intention to attend and number of assistants, no later than on the day specified in the notice of the meeting. Such day must not be a Sunday, other public holiday, Saturday, Midsummer’s Eve, Christmas Eve or New Year’s Eve and not fall earlier than the fifth weekday prior to the meeting.</w:t>
      </w:r>
    </w:p>
    <w:p w:rsidR="007E1BCD" w:rsidP="007E1BCD" w14:paraId="736E1672" w14:textId="77777777">
      <w:pPr>
        <w:spacing w:after="0" w:line="276" w:lineRule="auto"/>
        <w:ind w:left="1304"/>
        <w:rPr>
          <w:rFonts w:ascii="Times New Roman" w:hAnsi="Times New Roman"/>
          <w:szCs w:val="22"/>
          <w:lang w:val="en-GB" w:eastAsia="en-US"/>
        </w:rPr>
      </w:pPr>
    </w:p>
    <w:p w:rsidR="007E1BCD" w:rsidP="007E1BCD" w14:paraId="61600800" w14:textId="77777777">
      <w:pPr>
        <w:spacing w:after="0" w:line="276" w:lineRule="auto"/>
        <w:ind w:left="1304"/>
        <w:rPr>
          <w:rFonts w:ascii="Times New Roman" w:hAnsi="Times New Roman"/>
          <w:szCs w:val="22"/>
          <w:lang w:val="en-GB" w:eastAsia="en-US"/>
        </w:rPr>
      </w:pPr>
      <w:r>
        <w:rPr>
          <w:rFonts w:ascii="Times New Roman" w:hAnsi="Times New Roman"/>
          <w:szCs w:val="22"/>
          <w:lang w:val="en-GB" w:eastAsia="en-US"/>
        </w:rPr>
        <w:t>A shareholder may be joined by one or two counsels at a shareholders’ meeting, however, only if the shareholder has notified of this in accordance with the preceding paragraph.</w:t>
      </w:r>
    </w:p>
    <w:p w:rsidR="005F465B" w:rsidRPr="007E1BCD" w:rsidP="00CC5488" w14:paraId="287CCFD7" w14:textId="0835C964">
      <w:pPr>
        <w:spacing w:after="0" w:line="240" w:lineRule="auto"/>
        <w:jc w:val="left"/>
        <w:rPr>
          <w:lang w:val="en-US"/>
        </w:rPr>
      </w:pPr>
    </w:p>
    <w:sectPr w:rsidSect="008C310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6A4458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00AF0F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232561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34AE" w:rsidP="000A34AE" w14:paraId="46E6A8C4" w14:textId="77777777">
      <w:pPr>
        <w:spacing w:after="0" w:line="240" w:lineRule="auto"/>
      </w:pPr>
      <w:r>
        <w:separator/>
      </w:r>
    </w:p>
  </w:footnote>
  <w:footnote w:type="continuationSeparator" w:id="1">
    <w:p w:rsidR="000A34AE" w:rsidP="000A34AE" w14:paraId="26F331F1" w14:textId="77777777">
      <w:pPr>
        <w:spacing w:after="0" w:line="240" w:lineRule="auto"/>
      </w:pPr>
      <w:r>
        <w:continuationSeparator/>
      </w:r>
    </w:p>
  </w:footnote>
  <w:footnote w:id="2">
    <w:p w:rsidR="00AC5765" w:rsidRPr="00880394" w:rsidP="00013B35" w14:paraId="325AC09A" w14:textId="03CB4D93">
      <w:pPr>
        <w:pStyle w:val="FootnoteText"/>
        <w:rPr>
          <w:rFonts w:ascii="Times New Roman" w:hAnsi="Times New Roman" w:cs="Times New Roman"/>
        </w:rPr>
      </w:pPr>
      <w:r w:rsidRPr="00880394">
        <w:rPr>
          <w:rStyle w:val="FootnoteReference"/>
          <w:rFonts w:ascii="Times New Roman" w:hAnsi="Times New Roman" w:cs="Times New Roman"/>
        </w:rPr>
        <w:footnoteRef/>
      </w:r>
      <w:r w:rsidRPr="009F7EDF" w:rsidR="009F7EDF">
        <w:rPr>
          <w:rFonts w:ascii="Times New Roman" w:hAnsi="Times New Roman" w:cs="Times New Roman"/>
        </w:rPr>
        <w:t xml:space="preserve"> Omräkningsfaktorn vid C1- respektive C2-aktiernas utgivande är definierad som ett (1,0).</w:t>
      </w:r>
    </w:p>
  </w:footnote>
  <w:footnote w:id="3">
    <w:p w:rsidR="00AC5765" w:rsidRPr="00880394" w:rsidP="00013B35" w14:paraId="2CAD7E15" w14:textId="520E2B15">
      <w:pPr>
        <w:pStyle w:val="FootnoteText"/>
        <w:rPr>
          <w:rFonts w:ascii="Times New Roman" w:hAnsi="Times New Roman" w:cs="Times New Roman"/>
          <w:lang w:val="en-US"/>
        </w:rPr>
      </w:pPr>
      <w:r w:rsidRPr="00880394">
        <w:rPr>
          <w:rStyle w:val="FootnoteReference"/>
          <w:rFonts w:ascii="Times New Roman" w:hAnsi="Times New Roman" w:cs="Times New Roman"/>
        </w:rPr>
        <w:footnoteRef/>
      </w:r>
      <w:r w:rsidRPr="00F13B0B" w:rsidR="00F13B0B">
        <w:rPr>
          <w:rFonts w:ascii="Times New Roman" w:hAnsi="Times New Roman" w:cs="Times New Roman"/>
          <w:lang w:val="en-US"/>
        </w:rPr>
        <w:t xml:space="preserve"> The conversion factor at the time of issuance of Class C1 shares and Class C2 shares, respectively, is defined as one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15D9FC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555BEE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538" w14:paraId="0D1CCA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C343A09"/>
    <w:multiLevelType w:val="hybridMultilevel"/>
    <w:tmpl w:val="AC4EAD7C"/>
    <w:lvl w:ilvl="0">
      <w:start w:val="1"/>
      <w:numFmt w:val="decimal"/>
      <w:lvlText w:val="%1."/>
      <w:lvlJc w:val="left"/>
      <w:pPr>
        <w:ind w:left="1664" w:hanging="360"/>
      </w:p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1" w15:restartNumberingAfterBreak="0">
    <w:nsid w:val="2E0356ED"/>
    <w:multiLevelType w:val="hybridMultilevel"/>
    <w:tmpl w:val="AC4EAD7C"/>
    <w:lvl w:ilvl="0">
      <w:start w:val="1"/>
      <w:numFmt w:val="decimal"/>
      <w:lvlText w:val="%1."/>
      <w:lvlJc w:val="left"/>
      <w:pPr>
        <w:ind w:left="1664" w:hanging="360"/>
      </w:p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2" w15:restartNumberingAfterBreak="0">
    <w:nsid w:val="65774EB0"/>
    <w:multiLevelType w:val="hybridMultilevel"/>
    <w:tmpl w:val="7884CD2A"/>
    <w:lvl w:ilvl="0">
      <w:start w:val="1"/>
      <w:numFmt w:val="lowerLetter"/>
      <w:lvlText w:val="%1."/>
      <w:lvlJc w:val="left"/>
      <w:pPr>
        <w:ind w:left="2968" w:hanging="360"/>
      </w:pPr>
    </w:lvl>
    <w:lvl w:ilvl="1">
      <w:start w:val="1"/>
      <w:numFmt w:val="lowerLetter"/>
      <w:lvlText w:val="%2."/>
      <w:lvlJc w:val="left"/>
      <w:pPr>
        <w:ind w:left="3688" w:hanging="360"/>
      </w:pPr>
    </w:lvl>
    <w:lvl w:ilvl="2">
      <w:start w:val="1"/>
      <w:numFmt w:val="lowerRoman"/>
      <w:lvlText w:val="%3."/>
      <w:lvlJc w:val="right"/>
      <w:pPr>
        <w:ind w:left="4408" w:hanging="180"/>
      </w:pPr>
    </w:lvl>
    <w:lvl w:ilvl="3">
      <w:start w:val="1"/>
      <w:numFmt w:val="decimal"/>
      <w:lvlText w:val="%4."/>
      <w:lvlJc w:val="left"/>
      <w:pPr>
        <w:ind w:left="5128" w:hanging="360"/>
      </w:pPr>
    </w:lvl>
    <w:lvl w:ilvl="4">
      <w:start w:val="1"/>
      <w:numFmt w:val="lowerLetter"/>
      <w:lvlText w:val="%5."/>
      <w:lvlJc w:val="left"/>
      <w:pPr>
        <w:ind w:left="5848" w:hanging="360"/>
      </w:pPr>
    </w:lvl>
    <w:lvl w:ilvl="5">
      <w:start w:val="1"/>
      <w:numFmt w:val="lowerRoman"/>
      <w:lvlText w:val="%6."/>
      <w:lvlJc w:val="right"/>
      <w:pPr>
        <w:ind w:left="6568" w:hanging="180"/>
      </w:pPr>
    </w:lvl>
    <w:lvl w:ilvl="6">
      <w:start w:val="1"/>
      <w:numFmt w:val="decimal"/>
      <w:lvlText w:val="%7."/>
      <w:lvlJc w:val="left"/>
      <w:pPr>
        <w:ind w:left="7288" w:hanging="360"/>
      </w:pPr>
    </w:lvl>
    <w:lvl w:ilvl="7">
      <w:start w:val="1"/>
      <w:numFmt w:val="lowerLetter"/>
      <w:lvlText w:val="%8."/>
      <w:lvlJc w:val="left"/>
      <w:pPr>
        <w:ind w:left="8008" w:hanging="360"/>
      </w:pPr>
    </w:lvl>
    <w:lvl w:ilvl="8">
      <w:start w:val="1"/>
      <w:numFmt w:val="lowerRoman"/>
      <w:lvlText w:val="%9."/>
      <w:lvlJc w:val="right"/>
      <w:pPr>
        <w:ind w:left="8728" w:hanging="180"/>
      </w:pPr>
    </w:lvl>
  </w:abstractNum>
  <w:num w:numId="1" w16cid:durableId="268202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3418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178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D0"/>
    <w:rsid w:val="00013B35"/>
    <w:rsid w:val="0002625D"/>
    <w:rsid w:val="00054609"/>
    <w:rsid w:val="000A34AE"/>
    <w:rsid w:val="000C6145"/>
    <w:rsid w:val="000D5E94"/>
    <w:rsid w:val="00102849"/>
    <w:rsid w:val="00103F5A"/>
    <w:rsid w:val="00112776"/>
    <w:rsid w:val="0012430E"/>
    <w:rsid w:val="001B1DED"/>
    <w:rsid w:val="001D11BE"/>
    <w:rsid w:val="00206723"/>
    <w:rsid w:val="0023149B"/>
    <w:rsid w:val="002621BB"/>
    <w:rsid w:val="00266735"/>
    <w:rsid w:val="00286D56"/>
    <w:rsid w:val="00315B6A"/>
    <w:rsid w:val="00371DD4"/>
    <w:rsid w:val="00394638"/>
    <w:rsid w:val="003C5618"/>
    <w:rsid w:val="003D09D0"/>
    <w:rsid w:val="003E70B7"/>
    <w:rsid w:val="003F4CFC"/>
    <w:rsid w:val="00464C19"/>
    <w:rsid w:val="00491285"/>
    <w:rsid w:val="00495F23"/>
    <w:rsid w:val="004C4A98"/>
    <w:rsid w:val="00502C35"/>
    <w:rsid w:val="005101DE"/>
    <w:rsid w:val="00514B35"/>
    <w:rsid w:val="00542140"/>
    <w:rsid w:val="00561C14"/>
    <w:rsid w:val="00596F70"/>
    <w:rsid w:val="005A6B3A"/>
    <w:rsid w:val="005D33E9"/>
    <w:rsid w:val="005F465B"/>
    <w:rsid w:val="006549D2"/>
    <w:rsid w:val="00656AC3"/>
    <w:rsid w:val="0066278D"/>
    <w:rsid w:val="006818B4"/>
    <w:rsid w:val="006B64EC"/>
    <w:rsid w:val="0071004F"/>
    <w:rsid w:val="00712E2B"/>
    <w:rsid w:val="00747699"/>
    <w:rsid w:val="007A583E"/>
    <w:rsid w:val="007B5CC4"/>
    <w:rsid w:val="007E1BCD"/>
    <w:rsid w:val="0084320D"/>
    <w:rsid w:val="00871BF2"/>
    <w:rsid w:val="00880394"/>
    <w:rsid w:val="008C3103"/>
    <w:rsid w:val="008C6395"/>
    <w:rsid w:val="008D4413"/>
    <w:rsid w:val="00901046"/>
    <w:rsid w:val="009108C1"/>
    <w:rsid w:val="00911CE0"/>
    <w:rsid w:val="0091452C"/>
    <w:rsid w:val="00942A54"/>
    <w:rsid w:val="009511C9"/>
    <w:rsid w:val="00963238"/>
    <w:rsid w:val="009964DF"/>
    <w:rsid w:val="0099666F"/>
    <w:rsid w:val="009A5BBF"/>
    <w:rsid w:val="009B2FD4"/>
    <w:rsid w:val="009B33EA"/>
    <w:rsid w:val="009B7CCE"/>
    <w:rsid w:val="009D4731"/>
    <w:rsid w:val="009F7EDF"/>
    <w:rsid w:val="00A13C4E"/>
    <w:rsid w:val="00A15218"/>
    <w:rsid w:val="00A44B85"/>
    <w:rsid w:val="00A65F46"/>
    <w:rsid w:val="00A7206C"/>
    <w:rsid w:val="00A91F48"/>
    <w:rsid w:val="00A93512"/>
    <w:rsid w:val="00AC5765"/>
    <w:rsid w:val="00B16966"/>
    <w:rsid w:val="00B45311"/>
    <w:rsid w:val="00B4731F"/>
    <w:rsid w:val="00B83B3E"/>
    <w:rsid w:val="00BC29DC"/>
    <w:rsid w:val="00BF61E4"/>
    <w:rsid w:val="00C052DF"/>
    <w:rsid w:val="00C13E31"/>
    <w:rsid w:val="00C45E40"/>
    <w:rsid w:val="00C47F8C"/>
    <w:rsid w:val="00C6536D"/>
    <w:rsid w:val="00C968DF"/>
    <w:rsid w:val="00CA5538"/>
    <w:rsid w:val="00CC5488"/>
    <w:rsid w:val="00CD161D"/>
    <w:rsid w:val="00CD4ACD"/>
    <w:rsid w:val="00CD6A41"/>
    <w:rsid w:val="00CF223C"/>
    <w:rsid w:val="00D03F03"/>
    <w:rsid w:val="00D17556"/>
    <w:rsid w:val="00E06314"/>
    <w:rsid w:val="00E2446C"/>
    <w:rsid w:val="00E42684"/>
    <w:rsid w:val="00E625E0"/>
    <w:rsid w:val="00E741A7"/>
    <w:rsid w:val="00EF221C"/>
    <w:rsid w:val="00F12317"/>
    <w:rsid w:val="00F13B0B"/>
    <w:rsid w:val="00F215E5"/>
    <w:rsid w:val="00F434FA"/>
    <w:rsid w:val="00F56163"/>
    <w:rsid w:val="00F87765"/>
    <w:rsid w:val="00FA5A47"/>
    <w:rsid w:val="00FD7BD9"/>
    <w:rsid w:val="00FE60B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E73379D"/>
  <w15:chartTrackingRefBased/>
  <w15:docId w15:val="{F64B2C64-F2A9-4AE7-A027-A06EA77C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BCD"/>
    <w:pPr>
      <w:spacing w:after="200" w:line="288" w:lineRule="auto"/>
      <w:jc w:val="both"/>
    </w:pPr>
    <w:rPr>
      <w:rFonts w:ascii="Calibri" w:eastAsia="Times New Roman" w:hAnsi="Calibri" w:cs="Times New Roman"/>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1"/>
    <w:unhideWhenUsed/>
    <w:rsid w:val="007E1BCD"/>
    <w:pPr>
      <w:spacing w:line="240" w:lineRule="auto"/>
    </w:pPr>
    <w:rPr>
      <w:sz w:val="20"/>
      <w:szCs w:val="20"/>
    </w:rPr>
  </w:style>
  <w:style w:type="character" w:customStyle="1" w:styleId="CommentTextChar">
    <w:name w:val="Comment Text Char"/>
    <w:basedOn w:val="DefaultParagraphFont"/>
    <w:link w:val="CommentText"/>
    <w:uiPriority w:val="1"/>
    <w:rsid w:val="007E1BCD"/>
    <w:rPr>
      <w:rFonts w:ascii="Calibri" w:eastAsia="Times New Roman" w:hAnsi="Calibri" w:cs="Times New Roman"/>
      <w:sz w:val="20"/>
      <w:szCs w:val="20"/>
      <w:lang w:val="sv-SE" w:eastAsia="sv-SE"/>
    </w:rPr>
  </w:style>
  <w:style w:type="character" w:styleId="CommentReference">
    <w:name w:val="annotation reference"/>
    <w:basedOn w:val="DefaultParagraphFont"/>
    <w:uiPriority w:val="1"/>
    <w:semiHidden/>
    <w:unhideWhenUsed/>
    <w:rsid w:val="007E1BCD"/>
    <w:rPr>
      <w:rFonts w:ascii="Calibri" w:hAnsi="Calibri" w:cs="Calibri" w:hint="default"/>
      <w:sz w:val="16"/>
      <w:szCs w:val="16"/>
    </w:rPr>
  </w:style>
  <w:style w:type="table" w:styleId="TableGrid">
    <w:name w:val="Table Grid"/>
    <w:basedOn w:val="TableNormal"/>
    <w:rsid w:val="007E1BCD"/>
    <w:pPr>
      <w:spacing w:after="200" w:line="288"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AE"/>
    <w:rPr>
      <w:rFonts w:ascii="Calibri" w:eastAsia="Times New Roman" w:hAnsi="Calibri" w:cs="Times New Roman"/>
      <w:szCs w:val="24"/>
      <w:lang w:eastAsia="sv-SE"/>
    </w:rPr>
  </w:style>
  <w:style w:type="paragraph" w:styleId="Footer">
    <w:name w:val="footer"/>
    <w:basedOn w:val="Normal"/>
    <w:link w:val="FooterChar"/>
    <w:uiPriority w:val="99"/>
    <w:unhideWhenUsed/>
    <w:rsid w:val="000A3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4AE"/>
    <w:rPr>
      <w:rFonts w:ascii="Calibri" w:eastAsia="Times New Roman" w:hAnsi="Calibri" w:cs="Times New Roman"/>
      <w:szCs w:val="24"/>
      <w:lang w:eastAsia="sv-SE"/>
    </w:rPr>
  </w:style>
  <w:style w:type="paragraph" w:styleId="Revision">
    <w:name w:val="Revision"/>
    <w:hidden/>
    <w:uiPriority w:val="99"/>
    <w:semiHidden/>
    <w:rsid w:val="00E2446C"/>
    <w:pPr>
      <w:spacing w:after="0" w:line="240" w:lineRule="auto"/>
    </w:pPr>
    <w:rPr>
      <w:rFonts w:ascii="Calibri" w:eastAsia="Times New Roman" w:hAnsi="Calibri" w:cs="Times New Roman"/>
      <w:szCs w:val="24"/>
      <w:lang w:eastAsia="sv-SE"/>
    </w:rPr>
  </w:style>
  <w:style w:type="table" w:styleId="TableTheme">
    <w:name w:val="Table Theme"/>
    <w:basedOn w:val="TableNormal"/>
    <w:uiPriority w:val="99"/>
    <w:semiHidden/>
    <w:unhideWhenUsed/>
    <w:rsid w:val="00CC5488"/>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5488"/>
    <w:pPr>
      <w:spacing w:after="0" w:line="240" w:lineRule="auto"/>
      <w:jc w:val="left"/>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C5488"/>
    <w:rPr>
      <w:kern w:val="2"/>
      <w:sz w:val="20"/>
      <w:szCs w:val="20"/>
      <w14:ligatures w14:val="standardContextual"/>
    </w:rPr>
  </w:style>
  <w:style w:type="character" w:styleId="FootnoteReference">
    <w:name w:val="footnote reference"/>
    <w:basedOn w:val="DefaultParagraphFont"/>
    <w:uiPriority w:val="99"/>
    <w:semiHidden/>
    <w:unhideWhenUsed/>
    <w:rsid w:val="00CC5488"/>
    <w:rPr>
      <w:vertAlign w:val="superscript"/>
    </w:rPr>
  </w:style>
  <w:style w:type="paragraph" w:styleId="CommentSubject">
    <w:name w:val="annotation subject"/>
    <w:basedOn w:val="CommentText"/>
    <w:next w:val="CommentText"/>
    <w:link w:val="CommentSubjectChar"/>
    <w:uiPriority w:val="99"/>
    <w:semiHidden/>
    <w:unhideWhenUsed/>
    <w:rsid w:val="006B64EC"/>
    <w:rPr>
      <w:b/>
      <w:bCs/>
    </w:rPr>
  </w:style>
  <w:style w:type="character" w:customStyle="1" w:styleId="CommentSubjectChar">
    <w:name w:val="Comment Subject Char"/>
    <w:basedOn w:val="CommentTextChar"/>
    <w:link w:val="CommentSubject"/>
    <w:uiPriority w:val="99"/>
    <w:semiHidden/>
    <w:rsid w:val="006B64EC"/>
    <w:rPr>
      <w:rFonts w:ascii="Calibri" w:eastAsia="Times New Roman" w:hAnsi="Calibri" w:cs="Times New Roman"/>
      <w:b/>
      <w:bCs/>
      <w:sz w:val="20"/>
      <w:szCs w:val="20"/>
      <w:lang w:val="sv-SE" w:eastAsia="sv-SE"/>
    </w:rPr>
  </w:style>
  <w:style w:type="paragraph" w:styleId="NormalWeb">
    <w:name w:val="Normal (Web)"/>
    <w:basedOn w:val="Normal"/>
    <w:uiPriority w:val="99"/>
    <w:unhideWhenUsed/>
    <w:rsid w:val="00013B35"/>
    <w:pPr>
      <w:spacing w:before="100" w:beforeAutospacing="1" w:after="100" w:afterAutospacing="1" w:line="240" w:lineRule="auto"/>
      <w:jc w:val="left"/>
    </w:pPr>
    <w:rPr>
      <w:rFonts w:eastAsiaTheme="minorHAns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webSettings" Target="web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header" Target="header3.xml"/><Relationship Id="rId6" Type="http://schemas.openxmlformats.org/officeDocument/2006/relationships/customXml" Target="../customXml/item2.xml"/><Relationship Id="rId15"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VINGE!22816334.1</documentid>
  <senderid>NWN0368</senderid>
  <senderemail>NATHALIE.WIKMAN@VINGE.SE</senderemail>
  <lastmodified>2026-04-23T23:00:00.0000000+02:00</lastmodified>
  <database>VINGE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CE32251B21D4C438883975BE37D25C3" ma:contentTypeVersion="16" ma:contentTypeDescription="Skapa ett nytt dokument." ma:contentTypeScope="" ma:versionID="63aceecb0b1f32bac8f731d3c16066b4">
  <xsd:schema xmlns:xsd="http://www.w3.org/2001/XMLSchema" xmlns:xs="http://www.w3.org/2001/XMLSchema" xmlns:p="http://schemas.microsoft.com/office/2006/metadata/properties" xmlns:ns2="48737e3b-0032-4876-a83b-cd4c512d7086" xmlns:ns3="48130b5e-aa39-44ec-a555-092455961196" targetNamespace="http://schemas.microsoft.com/office/2006/metadata/properties" ma:root="true" ma:fieldsID="67c870a6f7110cfe968f775ae4f8ab91" ns2:_="" ns3:_="">
    <xsd:import namespace="48737e3b-0032-4876-a83b-cd4c512d7086"/>
    <xsd:import namespace="48130b5e-aa39-44ec-a555-092455961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7e3b-0032-4876-a83b-cd4c512d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7e98046-0735-4219-be8f-873250b42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30b5e-aa39-44ec-a555-092455961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39e7ac-0e31-4367-af85-bb23e54c5715}" ma:internalName="TaxCatchAll" ma:showField="CatchAllData" ma:web="48130b5e-aa39-44ec-a555-092455961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737e3b-0032-4876-a83b-cd4c512d7086">
      <Terms xmlns="http://schemas.microsoft.com/office/infopath/2007/PartnerControls"/>
    </lcf76f155ced4ddcb4097134ff3c332f>
    <TaxCatchAll xmlns="48130b5e-aa39-44ec-a555-092455961196" xsi:nil="true"/>
  </documentManagement>
</p:properties>
</file>

<file path=customXml/itemProps1.xml><?xml version="1.0" encoding="utf-8"?>
<ds:datastoreItem xmlns:ds="http://schemas.openxmlformats.org/officeDocument/2006/customXml" ds:itemID="{B4B1CCF7-3ED2-4848-984A-F012A632DCD7}">
  <ds:schemaRefs>
    <ds:schemaRef ds:uri="http://schemas.openxmlformats.org/officeDocument/2006/bibliography"/>
  </ds:schemaRefs>
</ds:datastoreItem>
</file>

<file path=customXml/itemProps2.xml><?xml version="1.0" encoding="utf-8"?>
<ds:datastoreItem xmlns:ds="http://schemas.openxmlformats.org/officeDocument/2006/customXml" ds:itemID="{98AAFF15-2E0C-45AA-A5CE-FEE4483EF495}">
  <ds:schemaRefs>
    <ds:schemaRef ds:uri="http://schemas.openxmlformats.org/officeDocument/2006/bibliography"/>
  </ds:schemaRefs>
</ds:datastoreItem>
</file>

<file path=customXml/itemProps3.xml><?xml version="1.0" encoding="utf-8"?>
<ds:datastoreItem xmlns:ds="http://schemas.openxmlformats.org/officeDocument/2006/customXml" ds:itemID="{CADBECC7-7F1B-40E3-898F-1DFCBB0CC43F}"/>
</file>

<file path=customXml/itemProps4.xml><?xml version="1.0" encoding="utf-8"?>
<ds:datastoreItem xmlns:ds="http://schemas.openxmlformats.org/officeDocument/2006/customXml" ds:itemID="{E8CED008-39AE-4D46-A139-0781A697C55A}"/>
</file>

<file path=customXml/itemProps5.xml><?xml version="1.0" encoding="utf-8"?>
<ds:datastoreItem xmlns:ds="http://schemas.openxmlformats.org/officeDocument/2006/customXml" ds:itemID="{771D12C3-2AA8-467E-A640-6EF674EEA12B}"/>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0x0101007CE32251B21D4C438883975BE37D25C3</vt:lpwstr>
  </property>
</Properties>
</file>